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677E6" w14:textId="77777777" w:rsidR="00513952" w:rsidRPr="00DE6498" w:rsidRDefault="00513952" w:rsidP="003063F1">
      <w:pPr>
        <w:pStyle w:val="BodyText"/>
        <w:spacing w:line="168" w:lineRule="exact"/>
        <w:jc w:val="center"/>
        <w:rPr>
          <w:b/>
          <w:bCs/>
          <w:sz w:val="22"/>
          <w:szCs w:val="22"/>
        </w:rPr>
      </w:pPr>
    </w:p>
    <w:p w14:paraId="32B4B6B2" w14:textId="7162C100" w:rsidR="001E5542" w:rsidRPr="00DE6498" w:rsidRDefault="00513952">
      <w:pPr>
        <w:pStyle w:val="Heading1"/>
        <w:spacing w:before="71"/>
        <w:rPr>
          <w:sz w:val="22"/>
          <w:szCs w:val="22"/>
        </w:rPr>
      </w:pPr>
      <w:r w:rsidRPr="00DE6498">
        <w:rPr>
          <w:sz w:val="22"/>
          <w:szCs w:val="22"/>
        </w:rPr>
        <w:t xml:space="preserve">PRIVATE PLACEMENT MEMORANDUM SUPPLEMENT </w:t>
      </w:r>
      <w:r w:rsidR="00F42091" w:rsidRPr="00DE6498">
        <w:rPr>
          <w:sz w:val="22"/>
          <w:szCs w:val="22"/>
        </w:rPr>
        <w:t>(to Private Placement Memorandum dated</w:t>
      </w:r>
      <w:r w:rsidR="0020061C" w:rsidRPr="00DE6498">
        <w:rPr>
          <w:sz w:val="22"/>
          <w:szCs w:val="22"/>
        </w:rPr>
        <w:t xml:space="preserve"> </w:t>
      </w:r>
      <w:r w:rsidR="004D760A" w:rsidRPr="00DE6498">
        <w:rPr>
          <w:sz w:val="22"/>
          <w:szCs w:val="22"/>
        </w:rPr>
        <w:t>November 29, 2023)</w:t>
      </w:r>
    </w:p>
    <w:p w14:paraId="2E28D0FD" w14:textId="5D1CA7D7" w:rsidR="00513952" w:rsidRPr="00DE6498" w:rsidRDefault="004D760A" w:rsidP="00513952">
      <w:pPr>
        <w:pStyle w:val="Heading1"/>
        <w:spacing w:before="71"/>
        <w:rPr>
          <w:sz w:val="22"/>
          <w:szCs w:val="22"/>
        </w:rPr>
      </w:pPr>
      <w:r w:rsidRPr="00DE6498">
        <w:rPr>
          <w:sz w:val="22"/>
          <w:szCs w:val="22"/>
        </w:rPr>
        <w:t>XAR Token</w:t>
      </w:r>
    </w:p>
    <w:p w14:paraId="1A33410E" w14:textId="3586DCA7" w:rsidR="00513952" w:rsidRPr="00DE6498" w:rsidRDefault="004D760A" w:rsidP="00513952">
      <w:pPr>
        <w:pStyle w:val="Heading1"/>
        <w:spacing w:before="71"/>
        <w:rPr>
          <w:sz w:val="22"/>
          <w:szCs w:val="22"/>
        </w:rPr>
      </w:pPr>
      <w:r w:rsidRPr="00DE6498">
        <w:rPr>
          <w:sz w:val="22"/>
          <w:szCs w:val="22"/>
        </w:rPr>
        <w:t>Regulation D</w:t>
      </w:r>
      <w:r w:rsidR="0020061C" w:rsidRPr="00DE6498">
        <w:rPr>
          <w:sz w:val="22"/>
          <w:szCs w:val="22"/>
        </w:rPr>
        <w:t xml:space="preserve"> </w:t>
      </w:r>
      <w:r w:rsidR="00513952" w:rsidRPr="00DE6498">
        <w:rPr>
          <w:sz w:val="22"/>
          <w:szCs w:val="22"/>
        </w:rPr>
        <w:t>Offering</w:t>
      </w:r>
    </w:p>
    <w:p w14:paraId="2664AC5A" w14:textId="58AEDDB6" w:rsidR="001E5542" w:rsidRPr="00DE6498" w:rsidRDefault="004D760A">
      <w:pPr>
        <w:spacing w:before="159"/>
        <w:ind w:left="2125" w:right="2118"/>
        <w:jc w:val="center"/>
        <w:rPr>
          <w:b/>
        </w:rPr>
      </w:pPr>
      <w:r w:rsidRPr="00DE6498">
        <w:rPr>
          <w:b/>
        </w:rPr>
        <w:t xml:space="preserve">December </w:t>
      </w:r>
      <w:r w:rsidR="00FF093B" w:rsidRPr="00DE6498">
        <w:rPr>
          <w:b/>
        </w:rPr>
        <w:t>11</w:t>
      </w:r>
      <w:r w:rsidRPr="00DE6498">
        <w:rPr>
          <w:b/>
        </w:rPr>
        <w:t>, 2023</w:t>
      </w:r>
    </w:p>
    <w:p w14:paraId="7F34C412" w14:textId="77777777" w:rsidR="001E5542" w:rsidRPr="00DE6498" w:rsidRDefault="001E5542">
      <w:pPr>
        <w:pStyle w:val="BodyText"/>
        <w:rPr>
          <w:b/>
          <w:sz w:val="22"/>
          <w:szCs w:val="22"/>
        </w:rPr>
      </w:pPr>
    </w:p>
    <w:p w14:paraId="2652DC67" w14:textId="77777777" w:rsidR="001E5542" w:rsidRPr="00DE6498" w:rsidRDefault="001E5542">
      <w:pPr>
        <w:pStyle w:val="BodyText"/>
        <w:spacing w:before="6"/>
        <w:rPr>
          <w:b/>
          <w:sz w:val="22"/>
          <w:szCs w:val="22"/>
        </w:rPr>
      </w:pPr>
    </w:p>
    <w:p w14:paraId="649AE9C3" w14:textId="7F4E9835" w:rsidR="00DF683E" w:rsidRPr="00DE6498" w:rsidRDefault="00DF683E" w:rsidP="00B67472">
      <w:pPr>
        <w:pStyle w:val="BodyText"/>
        <w:jc w:val="both"/>
        <w:rPr>
          <w:sz w:val="22"/>
          <w:szCs w:val="22"/>
        </w:rPr>
      </w:pPr>
      <w:r w:rsidRPr="00DE6498">
        <w:rPr>
          <w:sz w:val="22"/>
          <w:szCs w:val="22"/>
        </w:rPr>
        <w:t>This Supplement to Private Placement Memorandum (this “</w:t>
      </w:r>
      <w:r w:rsidRPr="00DE6498">
        <w:rPr>
          <w:b/>
          <w:bCs/>
          <w:i/>
          <w:iCs/>
          <w:sz w:val="22"/>
          <w:szCs w:val="22"/>
        </w:rPr>
        <w:t>Supplement</w:t>
      </w:r>
      <w:r w:rsidRPr="00DE6498">
        <w:rPr>
          <w:sz w:val="22"/>
          <w:szCs w:val="22"/>
        </w:rPr>
        <w:t xml:space="preserve">”) supplements </w:t>
      </w:r>
      <w:r w:rsidR="00F90547" w:rsidRPr="00DE6498">
        <w:rPr>
          <w:sz w:val="22"/>
          <w:szCs w:val="22"/>
        </w:rPr>
        <w:t>the</w:t>
      </w:r>
      <w:r w:rsidRPr="00DE6498">
        <w:rPr>
          <w:sz w:val="22"/>
          <w:szCs w:val="22"/>
        </w:rPr>
        <w:t xml:space="preserve"> Private Placement Memorandum </w:t>
      </w:r>
      <w:r w:rsidR="00F90547" w:rsidRPr="00DE6498">
        <w:rPr>
          <w:sz w:val="22"/>
          <w:szCs w:val="22"/>
        </w:rPr>
        <w:t>(“</w:t>
      </w:r>
      <w:r w:rsidR="00F90547" w:rsidRPr="00DE6498">
        <w:rPr>
          <w:b/>
          <w:bCs/>
          <w:i/>
          <w:iCs/>
          <w:sz w:val="22"/>
          <w:szCs w:val="22"/>
        </w:rPr>
        <w:t>PPM</w:t>
      </w:r>
      <w:r w:rsidR="00F90547" w:rsidRPr="00DE6498">
        <w:rPr>
          <w:sz w:val="22"/>
          <w:szCs w:val="22"/>
        </w:rPr>
        <w:t xml:space="preserve">”) </w:t>
      </w:r>
      <w:r w:rsidRPr="00DE6498">
        <w:rPr>
          <w:sz w:val="22"/>
          <w:szCs w:val="22"/>
        </w:rPr>
        <w:t xml:space="preserve">dated </w:t>
      </w:r>
      <w:r w:rsidR="004D760A" w:rsidRPr="00DE6498">
        <w:rPr>
          <w:sz w:val="22"/>
          <w:szCs w:val="22"/>
        </w:rPr>
        <w:t xml:space="preserve">November 29, </w:t>
      </w:r>
      <w:proofErr w:type="gramStart"/>
      <w:r w:rsidR="004D760A" w:rsidRPr="00DE6498">
        <w:rPr>
          <w:sz w:val="22"/>
          <w:szCs w:val="22"/>
        </w:rPr>
        <w:t>2023</w:t>
      </w:r>
      <w:proofErr w:type="gramEnd"/>
      <w:r w:rsidRPr="00DE6498">
        <w:rPr>
          <w:sz w:val="22"/>
          <w:szCs w:val="22"/>
        </w:rPr>
        <w:t xml:space="preserve"> in connection with the issuance </w:t>
      </w:r>
      <w:r w:rsidR="00E677CD" w:rsidRPr="00DE6498">
        <w:rPr>
          <w:sz w:val="22"/>
          <w:szCs w:val="22"/>
        </w:rPr>
        <w:t xml:space="preserve">XAR Tokens by Arcana Technologies Ltd., a company incorporated in the British Virgin Islands. </w:t>
      </w:r>
      <w:r w:rsidRPr="00DE6498">
        <w:rPr>
          <w:sz w:val="22"/>
          <w:szCs w:val="22"/>
        </w:rPr>
        <w:t>The purpose of this Supplement is to amend certain information in the PPM, as more fully described below.</w:t>
      </w:r>
    </w:p>
    <w:p w14:paraId="09DCE984" w14:textId="77777777" w:rsidR="00DF683E" w:rsidRPr="00DE6498" w:rsidRDefault="00DF683E" w:rsidP="00B67472">
      <w:pPr>
        <w:pStyle w:val="BodyText"/>
        <w:jc w:val="both"/>
        <w:rPr>
          <w:sz w:val="22"/>
          <w:szCs w:val="22"/>
        </w:rPr>
      </w:pPr>
    </w:p>
    <w:p w14:paraId="2606CEFC" w14:textId="65E6D2C9" w:rsidR="00DF683E" w:rsidRPr="00DE6498" w:rsidRDefault="00DF683E" w:rsidP="00B67472">
      <w:pPr>
        <w:pStyle w:val="BodyText"/>
        <w:jc w:val="both"/>
        <w:rPr>
          <w:sz w:val="22"/>
          <w:szCs w:val="22"/>
        </w:rPr>
      </w:pPr>
      <w:r w:rsidRPr="00DE6498">
        <w:rPr>
          <w:sz w:val="22"/>
          <w:szCs w:val="22"/>
        </w:rPr>
        <w:t xml:space="preserve">This Supplement is incorporated by reference into, and should be reviewed in conjunction with, the PPM. This Supplement is not complete without and may not be delivered or utilized except in connection with the PPM. If the description in this Supplement differs from the description in the </w:t>
      </w:r>
      <w:r w:rsidR="00E677CD" w:rsidRPr="00DE6498">
        <w:rPr>
          <w:sz w:val="22"/>
          <w:szCs w:val="22"/>
        </w:rPr>
        <w:t xml:space="preserve">November 29, </w:t>
      </w:r>
      <w:proofErr w:type="gramStart"/>
      <w:r w:rsidR="00E677CD" w:rsidRPr="00DE6498">
        <w:rPr>
          <w:sz w:val="22"/>
          <w:szCs w:val="22"/>
        </w:rPr>
        <w:t>2023</w:t>
      </w:r>
      <w:proofErr w:type="gramEnd"/>
      <w:r w:rsidR="00E677CD" w:rsidRPr="00DE6498">
        <w:rPr>
          <w:sz w:val="22"/>
          <w:szCs w:val="22"/>
        </w:rPr>
        <w:t xml:space="preserve"> PPM</w:t>
      </w:r>
      <w:r w:rsidRPr="00DE6498">
        <w:rPr>
          <w:sz w:val="22"/>
          <w:szCs w:val="22"/>
        </w:rPr>
        <w:t xml:space="preserve">, the description in this Supplement supersedes the description in the </w:t>
      </w:r>
      <w:r w:rsidR="00E677CD" w:rsidRPr="00DE6498">
        <w:rPr>
          <w:sz w:val="22"/>
          <w:szCs w:val="22"/>
        </w:rPr>
        <w:t>November 29, 2023 PPM</w:t>
      </w:r>
      <w:r w:rsidRPr="00DE6498">
        <w:rPr>
          <w:sz w:val="22"/>
          <w:szCs w:val="22"/>
        </w:rPr>
        <w:t>.</w:t>
      </w:r>
    </w:p>
    <w:p w14:paraId="7353C845" w14:textId="77777777" w:rsidR="00DF683E" w:rsidRPr="00DE6498" w:rsidRDefault="00DF683E" w:rsidP="00B67472">
      <w:pPr>
        <w:pStyle w:val="BodyText"/>
        <w:jc w:val="both"/>
        <w:rPr>
          <w:sz w:val="22"/>
          <w:szCs w:val="22"/>
        </w:rPr>
      </w:pPr>
    </w:p>
    <w:p w14:paraId="6E3F57A9" w14:textId="07A3E0BF" w:rsidR="00DF683E" w:rsidRPr="00DE6498" w:rsidRDefault="00DF683E" w:rsidP="00B67472">
      <w:pPr>
        <w:pStyle w:val="BodyText"/>
        <w:jc w:val="both"/>
        <w:rPr>
          <w:sz w:val="22"/>
          <w:szCs w:val="22"/>
        </w:rPr>
      </w:pPr>
      <w:r w:rsidRPr="00DE6498">
        <w:rPr>
          <w:sz w:val="22"/>
          <w:szCs w:val="22"/>
        </w:rPr>
        <w:t>Capitalized terms used but not defined herein shall have the meanings set forth in the PPM. Expressly as set forth in this Supplement, the PPM, including all disclosures therein and all exhibits thereto, shall remain unmodified.</w:t>
      </w:r>
    </w:p>
    <w:p w14:paraId="34F1C479" w14:textId="77777777" w:rsidR="008303E1" w:rsidRPr="00DE6498" w:rsidRDefault="008303E1" w:rsidP="00B67472">
      <w:pPr>
        <w:pStyle w:val="BodyText"/>
        <w:jc w:val="both"/>
        <w:rPr>
          <w:sz w:val="22"/>
          <w:szCs w:val="22"/>
        </w:rPr>
      </w:pPr>
    </w:p>
    <w:p w14:paraId="7D529E63" w14:textId="6ECC8086" w:rsidR="001E5542" w:rsidRPr="00DE6498" w:rsidRDefault="00DF683E" w:rsidP="00B67472">
      <w:pPr>
        <w:pStyle w:val="BodyText"/>
        <w:jc w:val="both"/>
        <w:rPr>
          <w:sz w:val="22"/>
          <w:szCs w:val="22"/>
        </w:rPr>
      </w:pPr>
      <w:r w:rsidRPr="00DE6498">
        <w:rPr>
          <w:sz w:val="22"/>
          <w:szCs w:val="22"/>
        </w:rPr>
        <w:t xml:space="preserve">The recipient, by accepting delivery of this Supplement, agrees to return this Supplement and all accompanying or related documents to the </w:t>
      </w:r>
      <w:r w:rsidR="008F7E36" w:rsidRPr="00DE6498">
        <w:rPr>
          <w:sz w:val="22"/>
          <w:szCs w:val="22"/>
        </w:rPr>
        <w:t>Company</w:t>
      </w:r>
      <w:r w:rsidR="001835A6" w:rsidRPr="00DE6498">
        <w:rPr>
          <w:sz w:val="22"/>
          <w:szCs w:val="22"/>
        </w:rPr>
        <w:t xml:space="preserve"> </w:t>
      </w:r>
      <w:r w:rsidRPr="00DE6498">
        <w:rPr>
          <w:sz w:val="22"/>
          <w:szCs w:val="22"/>
        </w:rPr>
        <w:t xml:space="preserve">if the recipient does not agree to purchase any of the </w:t>
      </w:r>
      <w:r w:rsidR="00E677CD" w:rsidRPr="00DE6498">
        <w:rPr>
          <w:sz w:val="22"/>
          <w:szCs w:val="22"/>
        </w:rPr>
        <w:t>SAFTs</w:t>
      </w:r>
      <w:r w:rsidR="0020061C" w:rsidRPr="00DE6498">
        <w:rPr>
          <w:sz w:val="22"/>
          <w:szCs w:val="22"/>
        </w:rPr>
        <w:t xml:space="preserve"> </w:t>
      </w:r>
      <w:r w:rsidRPr="00DE6498">
        <w:rPr>
          <w:sz w:val="22"/>
          <w:szCs w:val="22"/>
        </w:rPr>
        <w:t>offered in the Offering.</w:t>
      </w:r>
    </w:p>
    <w:p w14:paraId="659345C2" w14:textId="77777777" w:rsidR="001E5542" w:rsidRPr="00DE6498" w:rsidRDefault="001E5542">
      <w:pPr>
        <w:pStyle w:val="BodyText"/>
        <w:rPr>
          <w:sz w:val="22"/>
          <w:szCs w:val="22"/>
        </w:rPr>
      </w:pPr>
    </w:p>
    <w:p w14:paraId="78BB10A5" w14:textId="77777777" w:rsidR="0007028F" w:rsidRPr="00DE6498" w:rsidRDefault="0007028F" w:rsidP="0007028F">
      <w:pPr>
        <w:pStyle w:val="BodyText"/>
        <w:ind w:left="2123" w:right="2124"/>
        <w:jc w:val="center"/>
        <w:rPr>
          <w:sz w:val="22"/>
          <w:szCs w:val="22"/>
        </w:rPr>
      </w:pPr>
    </w:p>
    <w:p w14:paraId="7C23E64F" w14:textId="77777777" w:rsidR="00F169A1" w:rsidRPr="00DE6498" w:rsidRDefault="00F169A1" w:rsidP="00F169A1">
      <w:pPr>
        <w:pStyle w:val="BodyText"/>
        <w:rPr>
          <w:rFonts w:eastAsia="Arial Unicode MS"/>
          <w:sz w:val="22"/>
          <w:szCs w:val="22"/>
        </w:rPr>
      </w:pPr>
    </w:p>
    <w:tbl>
      <w:tblPr>
        <w:tblW w:w="10080" w:type="dxa"/>
        <w:tblInd w:w="8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680"/>
        <w:gridCol w:w="5400"/>
      </w:tblGrid>
      <w:tr w:rsidR="006B6091" w:rsidRPr="00DE6498" w14:paraId="705D256C" w14:textId="77777777" w:rsidTr="00CC40DF">
        <w:trPr>
          <w:trHeight w:val="1552"/>
        </w:trPr>
        <w:tc>
          <w:tcPr>
            <w:tcW w:w="46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D9C739" w14:textId="69DB06A5" w:rsidR="006B6091" w:rsidRPr="00DE6498" w:rsidRDefault="006B6091" w:rsidP="006B6091">
            <w:pPr>
              <w:pStyle w:val="A"/>
              <w:spacing w:after="240"/>
              <w:rPr>
                <w:rStyle w:val="a0"/>
                <w:i/>
                <w:sz w:val="22"/>
                <w:szCs w:val="22"/>
              </w:rPr>
            </w:pPr>
            <w:r w:rsidRPr="00DE6498">
              <w:rPr>
                <w:i/>
                <w:sz w:val="22"/>
                <w:szCs w:val="22"/>
              </w:rPr>
              <w:t>SAFTs:</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BC9998" w14:textId="264F9F05" w:rsidR="006B6091" w:rsidRPr="00DE6498" w:rsidRDefault="006B6091" w:rsidP="006B6091">
            <w:pPr>
              <w:jc w:val="both"/>
              <w:rPr>
                <w:color w:val="000000"/>
              </w:rPr>
            </w:pPr>
            <w:r w:rsidRPr="00DE6498">
              <w:rPr>
                <w:color w:val="000000"/>
              </w:rPr>
              <w:t xml:space="preserve">A SAFT providing its holder with the rights to receive XAR Tokens when minted in the future.  The expected number of XAR Tokens to be sold in this Offering is </w:t>
            </w:r>
            <w:r w:rsidR="005A02D4" w:rsidRPr="00DE6498">
              <w:rPr>
                <w:color w:val="000000"/>
              </w:rPr>
              <w:t>2</w:t>
            </w:r>
            <w:r w:rsidRPr="00DE6498">
              <w:rPr>
                <w:color w:val="000000"/>
              </w:rPr>
              <w:t xml:space="preserve">,000,000 XAR Tokens, which the Company has the ability to increase or decrease in its sole discretion, all of which will be paid out from the </w:t>
            </w:r>
            <w:r w:rsidRPr="00DE6498">
              <w:rPr>
                <w:color w:val="000000"/>
                <w:highlight w:val="white"/>
              </w:rPr>
              <w:t xml:space="preserve">Initial DEX Offering/Public Sale </w:t>
            </w:r>
            <w:r w:rsidRPr="00DE6498">
              <w:rPr>
                <w:color w:val="000000"/>
              </w:rPr>
              <w:t xml:space="preserve">allocation. Any unsold XAR Tokens can be re-allocated by the Company in its sole discretion. </w:t>
            </w:r>
          </w:p>
        </w:tc>
      </w:tr>
      <w:tr w:rsidR="007E7DAA" w:rsidRPr="00DE6498" w14:paraId="40BF2A5D" w14:textId="77777777" w:rsidTr="007E7DAA">
        <w:trPr>
          <w:trHeight w:val="485"/>
        </w:trPr>
        <w:tc>
          <w:tcPr>
            <w:tcW w:w="46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9ABF43" w14:textId="7618A7FE" w:rsidR="007E7DAA" w:rsidRPr="00DE6498" w:rsidRDefault="007E7DAA" w:rsidP="007E7DAA">
            <w:pPr>
              <w:pStyle w:val="A"/>
              <w:spacing w:after="240"/>
              <w:rPr>
                <w:rStyle w:val="a0"/>
                <w:i/>
                <w:sz w:val="22"/>
                <w:szCs w:val="22"/>
              </w:rPr>
            </w:pPr>
            <w:r w:rsidRPr="00DE6498">
              <w:rPr>
                <w:i/>
                <w:sz w:val="22"/>
                <w:szCs w:val="22"/>
              </w:rPr>
              <w:t>Offering Size:</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A85484" w14:textId="4AD32EDD" w:rsidR="007E7DAA" w:rsidRPr="00DE6498" w:rsidRDefault="007E7DAA" w:rsidP="007E7DAA">
            <w:pPr>
              <w:jc w:val="both"/>
              <w:rPr>
                <w:color w:val="000000"/>
              </w:rPr>
            </w:pPr>
            <w:r w:rsidRPr="00DE6498">
              <w:rPr>
                <w:color w:val="000000"/>
              </w:rPr>
              <w:t>US$100,000, subject to increase dependent on demand.</w:t>
            </w:r>
          </w:p>
        </w:tc>
      </w:tr>
      <w:tr w:rsidR="007E7DAA" w:rsidRPr="00DE6498" w14:paraId="260D5AA6" w14:textId="77777777" w:rsidTr="000D7DC1">
        <w:trPr>
          <w:trHeight w:val="359"/>
        </w:trPr>
        <w:tc>
          <w:tcPr>
            <w:tcW w:w="46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17D1AD" w14:textId="77777777" w:rsidR="007E7DAA" w:rsidRPr="00DE6498" w:rsidRDefault="007E7DAA" w:rsidP="007E7DAA">
            <w:pPr>
              <w:pStyle w:val="A"/>
              <w:spacing w:after="240"/>
              <w:rPr>
                <w:sz w:val="22"/>
                <w:szCs w:val="22"/>
              </w:rPr>
            </w:pPr>
            <w:r w:rsidRPr="00DE6498">
              <w:rPr>
                <w:rStyle w:val="a0"/>
                <w:i/>
                <w:sz w:val="22"/>
                <w:szCs w:val="22"/>
              </w:rPr>
              <w:t>Period of Offering:</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AC0A21" w14:textId="0C2C582A" w:rsidR="007E7DAA" w:rsidRPr="00DE6498" w:rsidRDefault="007E7DAA" w:rsidP="007E7DAA">
            <w:pPr>
              <w:jc w:val="both"/>
              <w:rPr>
                <w:color w:val="000000"/>
              </w:rPr>
            </w:pPr>
            <w:r w:rsidRPr="00DE6498">
              <w:rPr>
                <w:color w:val="000000"/>
              </w:rPr>
              <w:t>November 29, 2023, at 8:00 am Eastern Standard Time (“</w:t>
            </w:r>
            <w:r w:rsidRPr="00DE6498">
              <w:rPr>
                <w:b/>
                <w:bCs/>
                <w:i/>
                <w:iCs/>
                <w:color w:val="000000"/>
              </w:rPr>
              <w:t>EST</w:t>
            </w:r>
            <w:r w:rsidRPr="00DE6498">
              <w:rPr>
                <w:color w:val="000000"/>
              </w:rPr>
              <w:t>”) through December 2</w:t>
            </w:r>
            <w:r w:rsidR="00FF093B" w:rsidRPr="00DE6498">
              <w:rPr>
                <w:color w:val="000000"/>
              </w:rPr>
              <w:t>2</w:t>
            </w:r>
            <w:r w:rsidRPr="00DE6498">
              <w:rPr>
                <w:color w:val="000000"/>
              </w:rPr>
              <w:t>, 2023, at 11:59 pm Pacific Standard Time (the “</w:t>
            </w:r>
            <w:r w:rsidRPr="00DE6498">
              <w:rPr>
                <w:b/>
                <w:i/>
                <w:color w:val="000000"/>
              </w:rPr>
              <w:t>Offering Period</w:t>
            </w:r>
            <w:r w:rsidRPr="00DE6498">
              <w:rPr>
                <w:color w:val="000000"/>
              </w:rPr>
              <w:t>”). Purchasers who are on the Company’s “</w:t>
            </w:r>
            <w:proofErr w:type="spellStart"/>
            <w:r w:rsidRPr="00DE6498">
              <w:rPr>
                <w:color w:val="000000"/>
              </w:rPr>
              <w:t>allowlist</w:t>
            </w:r>
            <w:proofErr w:type="spellEnd"/>
            <w:r w:rsidRPr="00DE6498">
              <w:rPr>
                <w:color w:val="000000"/>
              </w:rPr>
              <w:t>” are eligible to participate in this Offering starting on November 29, 2023, at 8:00 am EST. Purchasers who are not on the Company’s “</w:t>
            </w:r>
            <w:proofErr w:type="spellStart"/>
            <w:r w:rsidRPr="00DE6498">
              <w:rPr>
                <w:color w:val="000000"/>
              </w:rPr>
              <w:t>allowlist</w:t>
            </w:r>
            <w:proofErr w:type="spellEnd"/>
            <w:r w:rsidRPr="00DE6498">
              <w:rPr>
                <w:color w:val="000000"/>
              </w:rPr>
              <w:t xml:space="preserve">” are eligible to participate in this Offering starting on December 1, 2023, at 8:00 am EST. The Company reserves the right to reject any payments not made within the Offering Period. The Offering Period may be extended or </w:t>
            </w:r>
            <w:r w:rsidRPr="00DE6498">
              <w:rPr>
                <w:color w:val="000000"/>
              </w:rPr>
              <w:lastRenderedPageBreak/>
              <w:t xml:space="preserve">shortened by the Company in its sole discretion by posting a Memorandum supplement on the Offering Website. </w:t>
            </w:r>
          </w:p>
        </w:tc>
      </w:tr>
      <w:tr w:rsidR="000D7DC1" w:rsidRPr="00DE6498" w14:paraId="64766090" w14:textId="77777777" w:rsidTr="00CC40DF">
        <w:trPr>
          <w:trHeight w:val="1552"/>
        </w:trPr>
        <w:tc>
          <w:tcPr>
            <w:tcW w:w="46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AD1B97" w14:textId="3E4E8BFD" w:rsidR="000D7DC1" w:rsidRPr="00DE6498" w:rsidRDefault="000D7DC1" w:rsidP="000D7DC1">
            <w:pPr>
              <w:pStyle w:val="A"/>
              <w:spacing w:after="240"/>
              <w:rPr>
                <w:rStyle w:val="a0"/>
                <w:i/>
                <w:sz w:val="22"/>
                <w:szCs w:val="22"/>
              </w:rPr>
            </w:pPr>
            <w:r w:rsidRPr="00DE6498">
              <w:rPr>
                <w:i/>
                <w:sz w:val="22"/>
                <w:szCs w:val="22"/>
              </w:rPr>
              <w:lastRenderedPageBreak/>
              <w:t>Fulfillment Price:</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5D510F" w14:textId="77777777" w:rsidR="000D7DC1" w:rsidRPr="00DE6498" w:rsidRDefault="000D7DC1" w:rsidP="000D7DC1">
            <w:pPr>
              <w:jc w:val="both"/>
              <w:rPr>
                <w:color w:val="000000"/>
              </w:rPr>
            </w:pPr>
            <w:r w:rsidRPr="00DE6498">
              <w:rPr>
                <w:color w:val="000000"/>
              </w:rPr>
              <w:t>Purchaser may purchase SAFTs through the following options (and note that the Company may increase or decrease the maximum supply of any option at its discretion, meaning that the ultimate number of XAR Tokens available for purchase may be higher or lower than the amount displayed below):</w:t>
            </w:r>
          </w:p>
          <w:p w14:paraId="24FB98B9" w14:textId="77777777" w:rsidR="000D7DC1" w:rsidRPr="00DE6498" w:rsidRDefault="000D7DC1" w:rsidP="000D7DC1">
            <w:pPr>
              <w:jc w:val="both"/>
              <w:rPr>
                <w:color w:val="000000"/>
              </w:rPr>
            </w:pPr>
          </w:p>
          <w:p w14:paraId="631EB6BD" w14:textId="77777777" w:rsidR="000D7DC1" w:rsidRPr="00DE6498" w:rsidRDefault="000D7DC1" w:rsidP="000D7DC1">
            <w:pPr>
              <w:jc w:val="both"/>
              <w:rPr>
                <w:b/>
                <w:color w:val="000000"/>
              </w:rPr>
            </w:pPr>
            <w:r w:rsidRPr="00DE6498">
              <w:rPr>
                <w:b/>
                <w:color w:val="000000"/>
              </w:rPr>
              <w:t xml:space="preserve">Regulation D Offering </w:t>
            </w:r>
          </w:p>
          <w:p w14:paraId="2C556014" w14:textId="77777777" w:rsidR="000D7DC1" w:rsidRPr="00DE6498" w:rsidRDefault="000D7DC1" w:rsidP="000D7DC1">
            <w:pPr>
              <w:jc w:val="both"/>
              <w:rPr>
                <w:color w:val="000000"/>
              </w:rPr>
            </w:pPr>
            <w:r w:rsidRPr="00DE6498">
              <w:rPr>
                <w:color w:val="000000"/>
              </w:rPr>
              <w:t>Price: US$0.05/XAR Token</w:t>
            </w:r>
          </w:p>
          <w:p w14:paraId="6253BCED" w14:textId="77777777" w:rsidR="000D7DC1" w:rsidRPr="00DE6498" w:rsidRDefault="000D7DC1" w:rsidP="000D7DC1">
            <w:pPr>
              <w:jc w:val="both"/>
              <w:rPr>
                <w:color w:val="000000"/>
              </w:rPr>
            </w:pPr>
            <w:r w:rsidRPr="00DE6498">
              <w:rPr>
                <w:color w:val="000000"/>
              </w:rPr>
              <w:t>Delivery Restrictions: 100% of the XAR Tokens will be released on the last day of the thirteenth (13) month from the Token Integration Event.</w:t>
            </w:r>
          </w:p>
          <w:p w14:paraId="660838C2" w14:textId="6D85AE99" w:rsidR="000D7DC1" w:rsidRPr="00DE6498" w:rsidRDefault="000D7DC1" w:rsidP="000D7DC1">
            <w:pPr>
              <w:jc w:val="both"/>
              <w:rPr>
                <w:color w:val="000000"/>
              </w:rPr>
            </w:pPr>
            <w:r w:rsidRPr="00DE6498">
              <w:rPr>
                <w:color w:val="000000"/>
              </w:rPr>
              <w:t>Maximum Supply: 2,000,000 XAR Tokens</w:t>
            </w:r>
          </w:p>
        </w:tc>
      </w:tr>
      <w:tr w:rsidR="00DE6498" w:rsidRPr="00DE6498" w14:paraId="65514B11" w14:textId="77777777" w:rsidTr="00DE6498">
        <w:trPr>
          <w:trHeight w:val="1052"/>
        </w:trPr>
        <w:tc>
          <w:tcPr>
            <w:tcW w:w="46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441ACE" w14:textId="3BE768D7" w:rsidR="00DE6498" w:rsidRPr="00DE6498" w:rsidRDefault="00DE6498" w:rsidP="00DE6498">
            <w:pPr>
              <w:pStyle w:val="A"/>
              <w:spacing w:after="240"/>
              <w:rPr>
                <w:i/>
                <w:sz w:val="22"/>
                <w:szCs w:val="22"/>
              </w:rPr>
            </w:pPr>
            <w:r w:rsidRPr="00DE6498">
              <w:rPr>
                <w:i/>
                <w:sz w:val="22"/>
                <w:szCs w:val="22"/>
              </w:rPr>
              <w:t>Subscription Amounts:</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ADDDC4" w14:textId="6DEAB4F0" w:rsidR="00DE6498" w:rsidRPr="00DE6498" w:rsidRDefault="00DE6498" w:rsidP="00DE6498">
            <w:pPr>
              <w:jc w:val="both"/>
              <w:rPr>
                <w:color w:val="000000"/>
              </w:rPr>
            </w:pPr>
            <w:r w:rsidRPr="00DE6498">
              <w:rPr>
                <w:color w:val="000000"/>
              </w:rPr>
              <w:t>The minimum investment amount is $200 for individual Purchasers and $5,000 for entity Purchasers. The maximum subscription amount is $</w:t>
            </w:r>
            <w:r w:rsidRPr="00DE6498">
              <w:rPr>
                <w:color w:val="000000"/>
              </w:rPr>
              <w:t>50</w:t>
            </w:r>
            <w:r w:rsidRPr="00DE6498">
              <w:rPr>
                <w:color w:val="000000"/>
              </w:rPr>
              <w:t xml:space="preserve">,000. Such amounts may be modified by the Company in its sole discretion. </w:t>
            </w:r>
          </w:p>
          <w:p w14:paraId="2AC51206" w14:textId="77777777" w:rsidR="00DE6498" w:rsidRPr="00DE6498" w:rsidRDefault="00DE6498" w:rsidP="00DE6498">
            <w:pPr>
              <w:jc w:val="both"/>
              <w:rPr>
                <w:color w:val="000000"/>
              </w:rPr>
            </w:pPr>
          </w:p>
        </w:tc>
      </w:tr>
    </w:tbl>
    <w:p w14:paraId="5B5F539F" w14:textId="77777777" w:rsidR="00F169A1" w:rsidRPr="00DE6498" w:rsidRDefault="00F169A1" w:rsidP="00F169A1">
      <w:pPr>
        <w:pStyle w:val="BodyText"/>
        <w:rPr>
          <w:rFonts w:eastAsia="Arial Unicode MS"/>
          <w:sz w:val="22"/>
          <w:szCs w:val="22"/>
        </w:rPr>
      </w:pPr>
    </w:p>
    <w:p w14:paraId="531D3EA3" w14:textId="77777777" w:rsidR="001E5542" w:rsidRPr="00DE6498" w:rsidRDefault="001E5542">
      <w:pPr>
        <w:pStyle w:val="BodyText"/>
        <w:ind w:left="2123" w:right="2124"/>
        <w:jc w:val="center"/>
        <w:rPr>
          <w:sz w:val="22"/>
          <w:szCs w:val="22"/>
        </w:rPr>
      </w:pPr>
    </w:p>
    <w:sectPr w:rsidR="001E5542" w:rsidRPr="00DE6498">
      <w:footerReference w:type="default" r:id="rId10"/>
      <w:pgSz w:w="12240" w:h="15840"/>
      <w:pgMar w:top="1360" w:right="1320" w:bottom="1200" w:left="1320" w:header="0" w:footer="10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C9817" w14:textId="77777777" w:rsidR="00DC4A02" w:rsidRDefault="00DC4A02">
      <w:r>
        <w:separator/>
      </w:r>
    </w:p>
  </w:endnote>
  <w:endnote w:type="continuationSeparator" w:id="0">
    <w:p w14:paraId="2B44F94A" w14:textId="77777777" w:rsidR="00DC4A02" w:rsidRDefault="00DC4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BoldItalicMT">
    <w:altName w:val="Times New Roman"/>
    <w:panose1 w:val="020B0604020202020204"/>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F5C8A" w14:textId="77777777" w:rsidR="001E5542" w:rsidRDefault="003063F1">
    <w:pPr>
      <w:pStyle w:val="BodyText"/>
      <w:spacing w:line="14" w:lineRule="auto"/>
    </w:pPr>
    <w:r>
      <w:rPr>
        <w:noProof/>
      </w:rPr>
      <mc:AlternateContent>
        <mc:Choice Requires="wps">
          <w:drawing>
            <wp:anchor distT="0" distB="0" distL="114300" distR="114300" simplePos="0" relativeHeight="251658752" behindDoc="1" locked="0" layoutInCell="1" allowOverlap="1" wp14:anchorId="08B1185A" wp14:editId="0CFFF643">
              <wp:simplePos x="0" y="0"/>
              <wp:positionH relativeFrom="page">
                <wp:posOffset>6758940</wp:posOffset>
              </wp:positionH>
              <wp:positionV relativeFrom="page">
                <wp:posOffset>9277985</wp:posOffset>
              </wp:positionV>
              <wp:extent cx="140335" cy="166370"/>
              <wp:effectExtent l="0" t="0" r="0" b="0"/>
              <wp:wrapNone/>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033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971958" w14:textId="77777777" w:rsidR="001E5542" w:rsidRDefault="00F42091">
                          <w:pPr>
                            <w:pStyle w:val="BodyText"/>
                            <w:spacing w:before="12"/>
                            <w:ind w:left="60"/>
                          </w:pPr>
                          <w:r>
                            <w:fldChar w:fldCharType="begin"/>
                          </w:r>
                          <w: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B1185A" id="_x0000_t202" coordsize="21600,21600" o:spt="202" path="m,l,21600r21600,l21600,xe">
              <v:stroke joinstyle="miter"/>
              <v:path gradientshapeok="t" o:connecttype="rect"/>
            </v:shapetype>
            <v:shape id="Text Box 1" o:spid="_x0000_s1026" type="#_x0000_t202" style="position:absolute;margin-left:532.2pt;margin-top:730.55pt;width:11.05pt;height:13.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" filled="f" stroked="f">
              <v:path arrowok="t"/>
              <v:textbox inset="0,0,0,0">
                <w:txbxContent>
                  <w:p w14:paraId="52971958" w14:textId="77777777" w:rsidR="001E5542" w:rsidRDefault="00F42091">
                    <w:pPr>
                      <w:pStyle w:val="BodyText"/>
                      <w:spacing w:before="12"/>
                      <w:ind w:left="60"/>
                    </w:pPr>
                    <w:r>
                      <w:fldChar w:fldCharType="begin"/>
                    </w:r>
                    <w: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C5FDC" w14:textId="77777777" w:rsidR="00DC4A02" w:rsidRDefault="00DC4A02">
      <w:r>
        <w:separator/>
      </w:r>
    </w:p>
  </w:footnote>
  <w:footnote w:type="continuationSeparator" w:id="0">
    <w:p w14:paraId="06D1748A" w14:textId="77777777" w:rsidR="00DC4A02" w:rsidRDefault="00DC4A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56546C"/>
    <w:multiLevelType w:val="hybridMultilevel"/>
    <w:tmpl w:val="D4AECE84"/>
    <w:lvl w:ilvl="0" w:tplc="5900A6D6">
      <w:start w:val="1"/>
      <w:numFmt w:val="decimal"/>
      <w:lvlText w:val="(%1)"/>
      <w:lvlJc w:val="left"/>
      <w:pPr>
        <w:ind w:left="1080" w:hanging="361"/>
      </w:pPr>
      <w:rPr>
        <w:rFonts w:ascii="Arial" w:eastAsia="Arial" w:hAnsi="Arial" w:cs="Arial" w:hint="default"/>
        <w:spacing w:val="-13"/>
        <w:w w:val="100"/>
        <w:sz w:val="21"/>
        <w:szCs w:val="21"/>
      </w:rPr>
    </w:lvl>
    <w:lvl w:ilvl="1" w:tplc="10B6779A">
      <w:numFmt w:val="bullet"/>
      <w:lvlText w:val="●"/>
      <w:lvlJc w:val="left"/>
      <w:pPr>
        <w:ind w:left="1439" w:hanging="361"/>
      </w:pPr>
      <w:rPr>
        <w:rFonts w:ascii="Times New Roman" w:eastAsia="Times New Roman" w:hAnsi="Times New Roman" w:cs="Times New Roman" w:hint="default"/>
        <w:spacing w:val="-1"/>
        <w:w w:val="100"/>
        <w:sz w:val="21"/>
        <w:szCs w:val="21"/>
      </w:rPr>
    </w:lvl>
    <w:lvl w:ilvl="2" w:tplc="ADFAD1DE">
      <w:numFmt w:val="bullet"/>
      <w:lvlText w:val="•"/>
      <w:lvlJc w:val="left"/>
      <w:pPr>
        <w:ind w:left="2497" w:hanging="361"/>
      </w:pPr>
      <w:rPr>
        <w:rFonts w:hint="default"/>
      </w:rPr>
    </w:lvl>
    <w:lvl w:ilvl="3" w:tplc="F10E58BE">
      <w:numFmt w:val="bullet"/>
      <w:lvlText w:val="•"/>
      <w:lvlJc w:val="left"/>
      <w:pPr>
        <w:ind w:left="3555" w:hanging="361"/>
      </w:pPr>
      <w:rPr>
        <w:rFonts w:hint="default"/>
      </w:rPr>
    </w:lvl>
    <w:lvl w:ilvl="4" w:tplc="D2B62CF6">
      <w:numFmt w:val="bullet"/>
      <w:lvlText w:val="•"/>
      <w:lvlJc w:val="left"/>
      <w:pPr>
        <w:ind w:left="4613" w:hanging="361"/>
      </w:pPr>
      <w:rPr>
        <w:rFonts w:hint="default"/>
      </w:rPr>
    </w:lvl>
    <w:lvl w:ilvl="5" w:tplc="46FCC1C0">
      <w:numFmt w:val="bullet"/>
      <w:lvlText w:val="•"/>
      <w:lvlJc w:val="left"/>
      <w:pPr>
        <w:ind w:left="5671" w:hanging="361"/>
      </w:pPr>
      <w:rPr>
        <w:rFonts w:hint="default"/>
      </w:rPr>
    </w:lvl>
    <w:lvl w:ilvl="6" w:tplc="72162B7E">
      <w:numFmt w:val="bullet"/>
      <w:lvlText w:val="•"/>
      <w:lvlJc w:val="left"/>
      <w:pPr>
        <w:ind w:left="6728" w:hanging="361"/>
      </w:pPr>
      <w:rPr>
        <w:rFonts w:hint="default"/>
      </w:rPr>
    </w:lvl>
    <w:lvl w:ilvl="7" w:tplc="0CA8C746">
      <w:numFmt w:val="bullet"/>
      <w:lvlText w:val="•"/>
      <w:lvlJc w:val="left"/>
      <w:pPr>
        <w:ind w:left="7786" w:hanging="361"/>
      </w:pPr>
      <w:rPr>
        <w:rFonts w:hint="default"/>
      </w:rPr>
    </w:lvl>
    <w:lvl w:ilvl="8" w:tplc="4B545A1A">
      <w:numFmt w:val="bullet"/>
      <w:lvlText w:val="•"/>
      <w:lvlJc w:val="left"/>
      <w:pPr>
        <w:ind w:left="8844" w:hanging="361"/>
      </w:pPr>
      <w:rPr>
        <w:rFonts w:hint="default"/>
      </w:rPr>
    </w:lvl>
  </w:abstractNum>
  <w:num w:numId="1" w16cid:durableId="2130851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542"/>
    <w:rsid w:val="00066E03"/>
    <w:rsid w:val="0007028F"/>
    <w:rsid w:val="00074861"/>
    <w:rsid w:val="000852D5"/>
    <w:rsid w:val="000900EA"/>
    <w:rsid w:val="00094F55"/>
    <w:rsid w:val="000A6B41"/>
    <w:rsid w:val="000C6505"/>
    <w:rsid w:val="000D7DC1"/>
    <w:rsid w:val="000F1F96"/>
    <w:rsid w:val="001254F7"/>
    <w:rsid w:val="00140CDC"/>
    <w:rsid w:val="001835A6"/>
    <w:rsid w:val="001C59B7"/>
    <w:rsid w:val="001E5542"/>
    <w:rsid w:val="0020061C"/>
    <w:rsid w:val="0021668D"/>
    <w:rsid w:val="00241E6E"/>
    <w:rsid w:val="00255745"/>
    <w:rsid w:val="002A0DCC"/>
    <w:rsid w:val="002E16DA"/>
    <w:rsid w:val="002F04EF"/>
    <w:rsid w:val="003063F1"/>
    <w:rsid w:val="00327975"/>
    <w:rsid w:val="00353FFB"/>
    <w:rsid w:val="003616A3"/>
    <w:rsid w:val="0046504A"/>
    <w:rsid w:val="004C2618"/>
    <w:rsid w:val="004D760A"/>
    <w:rsid w:val="004E3C5A"/>
    <w:rsid w:val="00513952"/>
    <w:rsid w:val="00521A54"/>
    <w:rsid w:val="0054435B"/>
    <w:rsid w:val="005A02D4"/>
    <w:rsid w:val="005A5585"/>
    <w:rsid w:val="005D1554"/>
    <w:rsid w:val="006305BC"/>
    <w:rsid w:val="006B3F0E"/>
    <w:rsid w:val="006B6091"/>
    <w:rsid w:val="006F77AA"/>
    <w:rsid w:val="00701687"/>
    <w:rsid w:val="00701AC6"/>
    <w:rsid w:val="00740613"/>
    <w:rsid w:val="007E7DAA"/>
    <w:rsid w:val="00803AE2"/>
    <w:rsid w:val="0082052C"/>
    <w:rsid w:val="008303E1"/>
    <w:rsid w:val="00841AE0"/>
    <w:rsid w:val="008721EB"/>
    <w:rsid w:val="008E3D9E"/>
    <w:rsid w:val="008E4F15"/>
    <w:rsid w:val="008F7E36"/>
    <w:rsid w:val="00942F97"/>
    <w:rsid w:val="00952790"/>
    <w:rsid w:val="009D0D89"/>
    <w:rsid w:val="009E09A6"/>
    <w:rsid w:val="00A40B2D"/>
    <w:rsid w:val="00AD62D9"/>
    <w:rsid w:val="00B16023"/>
    <w:rsid w:val="00B67472"/>
    <w:rsid w:val="00BD418E"/>
    <w:rsid w:val="00BE07D8"/>
    <w:rsid w:val="00BE7B2C"/>
    <w:rsid w:val="00C572B4"/>
    <w:rsid w:val="00CE33EE"/>
    <w:rsid w:val="00D44763"/>
    <w:rsid w:val="00D97597"/>
    <w:rsid w:val="00DC4A02"/>
    <w:rsid w:val="00DE4575"/>
    <w:rsid w:val="00DE6498"/>
    <w:rsid w:val="00DF683E"/>
    <w:rsid w:val="00E677CD"/>
    <w:rsid w:val="00E80BA0"/>
    <w:rsid w:val="00E91D4B"/>
    <w:rsid w:val="00EA2C74"/>
    <w:rsid w:val="00EA624C"/>
    <w:rsid w:val="00EA6AA8"/>
    <w:rsid w:val="00ED1B0F"/>
    <w:rsid w:val="00ED3AB1"/>
    <w:rsid w:val="00F169A1"/>
    <w:rsid w:val="00F30A7C"/>
    <w:rsid w:val="00F42091"/>
    <w:rsid w:val="00F8259A"/>
    <w:rsid w:val="00F90547"/>
    <w:rsid w:val="00FA2B10"/>
    <w:rsid w:val="00FE576B"/>
    <w:rsid w:val="00FF09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C75826"/>
  <w15:docId w15:val="{5958A121-1333-4C4C-B6E4-60A1C8C5A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5"/>
      <w:ind w:left="2125" w:right="2124"/>
      <w:jc w:val="center"/>
      <w:outlineLvl w:val="0"/>
    </w:pPr>
    <w:rPr>
      <w:b/>
      <w:bCs/>
      <w:sz w:val="20"/>
      <w:szCs w:val="20"/>
    </w:rPr>
  </w:style>
  <w:style w:type="paragraph" w:styleId="Heading2">
    <w:name w:val="heading 2"/>
    <w:basedOn w:val="Normal"/>
    <w:uiPriority w:val="9"/>
    <w:unhideWhenUsed/>
    <w:qFormat/>
    <w:pPr>
      <w:ind w:left="120"/>
      <w:jc w:val="both"/>
      <w:outlineLvl w:val="1"/>
    </w:pPr>
    <w:rPr>
      <w:rFonts w:ascii="TimesNewRomanPS-BoldItalicMT" w:eastAsia="TimesNewRomanPS-BoldItalicMT" w:hAnsi="TimesNewRomanPS-BoldItalicMT" w:cs="TimesNewRomanPS-BoldItalicMT"/>
      <w:b/>
      <w:bCs/>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customStyle="1" w:styleId="A">
    <w:name w:val="正文 A"/>
    <w:rsid w:val="00353FFB"/>
    <w:pPr>
      <w:widowControl/>
      <w:pBdr>
        <w:top w:val="nil"/>
        <w:left w:val="nil"/>
        <w:bottom w:val="nil"/>
        <w:right w:val="nil"/>
        <w:between w:val="nil"/>
        <w:bar w:val="nil"/>
      </w:pBdr>
      <w:autoSpaceDE/>
      <w:autoSpaceDN/>
    </w:pPr>
    <w:rPr>
      <w:rFonts w:ascii="Times New Roman" w:eastAsia="Times New Roman" w:hAnsi="Times New Roman" w:cs="Times New Roman"/>
      <w:color w:val="000000"/>
      <w:sz w:val="20"/>
      <w:szCs w:val="20"/>
      <w:u w:color="000000"/>
      <w:bdr w:val="nil"/>
    </w:rPr>
  </w:style>
  <w:style w:type="character" w:customStyle="1" w:styleId="a0">
    <w:name w:val="无"/>
    <w:rsid w:val="00353FFB"/>
  </w:style>
  <w:style w:type="character" w:customStyle="1" w:styleId="A1">
    <w:name w:val="无 A"/>
    <w:rsid w:val="0082052C"/>
    <w:rPr>
      <w:lang w:val="en-US"/>
    </w:rPr>
  </w:style>
  <w:style w:type="paragraph" w:customStyle="1" w:styleId="A2">
    <w:name w:val="小标题 A"/>
    <w:next w:val="BodyText"/>
    <w:rsid w:val="0046504A"/>
    <w:pPr>
      <w:keepNext/>
      <w:widowControl/>
      <w:pBdr>
        <w:top w:val="nil"/>
        <w:left w:val="nil"/>
        <w:bottom w:val="nil"/>
        <w:right w:val="nil"/>
        <w:between w:val="nil"/>
        <w:bar w:val="nil"/>
      </w:pBdr>
      <w:autoSpaceDE/>
      <w:autoSpaceDN/>
      <w:spacing w:after="240"/>
      <w:jc w:val="center"/>
      <w:outlineLvl w:val="0"/>
    </w:pPr>
    <w:rPr>
      <w:rFonts w:ascii="Times New Roman" w:eastAsia="Times New Roman" w:hAnsi="Times New Roman" w:cs="Times New Roman"/>
      <w:b/>
      <w:bCs/>
      <w:color w:val="000000"/>
      <w:sz w:val="20"/>
      <w:szCs w:val="20"/>
      <w:u w:color="000000"/>
      <w:bdr w:val="nil"/>
      <w14:textOutline w14:w="12700" w14:cap="flat" w14:cmpd="sng" w14:algn="ctr">
        <w14:noFill/>
        <w14:prstDash w14:val="solid"/>
        <w14:miter w14:lim="400000"/>
      </w14:textOutline>
    </w:rPr>
  </w:style>
  <w:style w:type="paragraph" w:customStyle="1" w:styleId="3A">
    <w:name w:val="小标题 3 A"/>
    <w:next w:val="BodyText"/>
    <w:rsid w:val="0046504A"/>
    <w:pPr>
      <w:keepNext/>
      <w:widowControl/>
      <w:pBdr>
        <w:top w:val="nil"/>
        <w:left w:val="nil"/>
        <w:bottom w:val="nil"/>
        <w:right w:val="nil"/>
        <w:between w:val="nil"/>
        <w:bar w:val="nil"/>
      </w:pBdr>
      <w:autoSpaceDE/>
      <w:autoSpaceDN/>
      <w:spacing w:after="240"/>
      <w:jc w:val="both"/>
      <w:outlineLvl w:val="2"/>
    </w:pPr>
    <w:rPr>
      <w:rFonts w:ascii="Times New Roman" w:eastAsia="Arial Unicode MS" w:hAnsi="Times New Roman" w:cs="Arial Unicode MS"/>
      <w:b/>
      <w:bCs/>
      <w:i/>
      <w:iCs/>
      <w:color w:val="000000"/>
      <w:sz w:val="20"/>
      <w:szCs w:val="20"/>
      <w:u w:color="000000"/>
      <w:bdr w:val="nil"/>
      <w14:textOutline w14:w="12700" w14:cap="flat" w14:cmpd="sng" w14:algn="ctr">
        <w14:noFill/>
        <w14:prstDash w14:val="solid"/>
        <w14:miter w14:lim="400000"/>
      </w14:textOutline>
    </w:rPr>
  </w:style>
  <w:style w:type="paragraph" w:customStyle="1" w:styleId="2A">
    <w:name w:val="小标题 2 A"/>
    <w:next w:val="BodyText"/>
    <w:rsid w:val="004E3C5A"/>
    <w:pPr>
      <w:keepNext/>
      <w:widowControl/>
      <w:pBdr>
        <w:top w:val="nil"/>
        <w:left w:val="nil"/>
        <w:bottom w:val="nil"/>
        <w:right w:val="nil"/>
        <w:between w:val="nil"/>
        <w:bar w:val="nil"/>
      </w:pBdr>
      <w:autoSpaceDE/>
      <w:autoSpaceDN/>
      <w:spacing w:after="240"/>
      <w:jc w:val="both"/>
      <w:outlineLvl w:val="1"/>
    </w:pPr>
    <w:rPr>
      <w:rFonts w:ascii="Times New Roman" w:eastAsia="Arial Unicode MS" w:hAnsi="Times New Roman" w:cs="Arial Unicode MS"/>
      <w:b/>
      <w:bCs/>
      <w:color w:val="000000"/>
      <w:sz w:val="20"/>
      <w:szCs w:val="20"/>
      <w:u w:color="000000"/>
      <w:bdr w:val="nil"/>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MS Document" ma:contentTypeID="0x010100BD76DA8D4A0CD348933D41CC1AAF2BA700581A42F28443094A868CC02DFE4FE817" ma:contentTypeVersion="21" ma:contentTypeDescription="Create a new document." ma:contentTypeScope="" ma:versionID="44cf3580b58e5586039218a0a9f1098c">
  <xsd:schema xmlns:xsd="http://www.w3.org/2001/XMLSchema" xmlns:xs="http://www.w3.org/2001/XMLSchema" xmlns:p="http://schemas.microsoft.com/office/2006/metadata/properties" xmlns:ns1="8c9f97e2-5c04-4da0-b81c-64d70f999e80" xmlns:ns3="http://schemas.microsoft.com/sharepoint/v3/fields" xmlns:ns4="362164c7-0f86-41eb-b0f3-766db270400b" targetNamespace="http://schemas.microsoft.com/office/2006/metadata/properties" ma:root="true" ma:fieldsID="0b9cadb394f320eabf32c8d9da68404b" ns1:_="" ns3:_="" ns4:_="">
    <xsd:import namespace="8c9f97e2-5c04-4da0-b81c-64d70f999e80"/>
    <xsd:import namespace="http://schemas.microsoft.com/sharepoint/v3/fields"/>
    <xsd:import namespace="362164c7-0f86-41eb-b0f3-766db270400b"/>
    <xsd:element name="properties">
      <xsd:complexType>
        <xsd:sequence>
          <xsd:element name="documentManagement">
            <xsd:complexType>
              <xsd:all>
                <xsd:element ref="ns1:ClientName" minOccurs="0"/>
                <xsd:element ref="ns1:ClientCode" minOccurs="0"/>
                <xsd:element ref="ns1:MatterName" minOccurs="0"/>
                <xsd:element ref="ns1:MatterCode" minOccurs="0"/>
                <xsd:element ref="ns1:_dlc_DocId" minOccurs="0"/>
                <xsd:element ref="ns1:_dlc_DocIdUrl" minOccurs="0"/>
                <xsd:element ref="ns1:_dlc_DocIdPersistId" minOccurs="0"/>
                <xsd:element ref="ns1:o5475c2348414cbd8701110833ac2cae" minOccurs="0"/>
                <xsd:element ref="ns1:TaxCatchAll" minOccurs="0"/>
                <xsd:element ref="ns1:TaxCatchAllLabel" minOccurs="0"/>
                <xsd:element ref="ns3:ShortComment" minOccurs="0"/>
                <xsd:element ref="ns4:MediaServiceMetadata" minOccurs="0"/>
                <xsd:element ref="ns4:MediaServiceFastMetadata" minOccurs="0"/>
                <xsd:element ref="ns4:MediaServiceObjectDetectorVersions" minOccurs="0"/>
                <xsd:element ref="ns1:SharedWithUsers" minOccurs="0"/>
                <xsd:element ref="ns1:SharedWithDetails" minOccurs="0"/>
                <xsd:element ref="ns4:MediaServiceDateTaken" minOccurs="0"/>
                <xsd:element ref="ns4:MediaServiceGenerationTime" minOccurs="0"/>
                <xsd:element ref="ns4:MediaServiceEventHashCode" minOccurs="0"/>
                <xsd:element ref="ns4:MediaLengthInSeconds" minOccurs="0"/>
                <xsd:element ref="ns4:lcf76f155ced4ddcb4097134ff3c332f"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9f97e2-5c04-4da0-b81c-64d70f999e80" elementFormDefault="qualified">
    <xsd:import namespace="http://schemas.microsoft.com/office/2006/documentManagement/types"/>
    <xsd:import namespace="http://schemas.microsoft.com/office/infopath/2007/PartnerControls"/>
    <xsd:element name="ClientName" ma:index="0" nillable="true" ma:displayName="ClientName" ma:default="Arcana Technologies Ltd." ma:internalName="ClientName">
      <xsd:simpleType>
        <xsd:restriction base="dms:Text"/>
      </xsd:simpleType>
    </xsd:element>
    <xsd:element name="ClientCode" ma:index="1" nillable="true" ma:displayName="ClientCode" ma:default="ATL" ma:internalName="ClientCode">
      <xsd:simpleType>
        <xsd:restriction base="dms:Text"/>
      </xsd:simpleType>
    </xsd:element>
    <xsd:element name="MatterName" ma:index="2" nillable="true" ma:displayName="MatterName" ma:default="Arcana Technologies - General Corporate" ma:internalName="MatterName">
      <xsd:simpleType>
        <xsd:restriction base="dms:Text"/>
      </xsd:simpleType>
    </xsd:element>
    <xsd:element name="MatterCode" ma:index="3" nillable="true" ma:displayName="MatterCode" ma:default="2023-00060" ma:internalName="MatterCode">
      <xsd:simpleType>
        <xsd:restriction base="dms:Text"/>
      </xsd:simpleType>
    </xsd:element>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o5475c2348414cbd8701110833ac2cae" ma:index="15" nillable="true" ma:taxonomy="true" ma:internalName="o5475c2348414cbd8701110833ac2cae" ma:taxonomyFieldName="DocumentType" ma:displayName="DocumentType" ma:fieldId="{85475c23-4841-4cbd-8701-110833ac2cae}" ma:sspId="e701270f-4c88-4a53-99bf-d40d45f6ec7f" ma:termSetId="aa0fe1e0-34e8-40db-800f-af2af7ed8de3" ma:anchorId="00000000-0000-0000-0000-000000000000" ma:open="false" ma:isKeyword="false">
      <xsd:complexType>
        <xsd:sequence>
          <xsd:element ref="pc:Terms" minOccurs="0" maxOccurs="1"/>
        </xsd:sequence>
      </xsd:complexType>
    </xsd:element>
    <xsd:element name="TaxCatchAll" ma:index="16" nillable="true" ma:displayName="Taxonomy Catch All Column" ma:hidden="true" ma:list="{8e6f19c7-357d-488b-8efa-29ed1a51f7a4}" ma:internalName="TaxCatchAll" ma:showField="CatchAllData" ma:web="8c9f97e2-5c04-4da0-b81c-64d70f999e80">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8e6f19c7-357d-488b-8efa-29ed1a51f7a4}" ma:internalName="TaxCatchAllLabel" ma:readOnly="true" ma:showField="CatchAllDataLabel" ma:web="8c9f97e2-5c04-4da0-b81c-64d70f999e80">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ShortComment" ma:index="19" nillable="true" ma:displayName="Comments" ma:internalName="ShortComment"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2164c7-0f86-41eb-b0f3-766db270400b"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e701270f-4c88-4a53-99bf-d40d45f6ec7f" ma:termSetId="09814cd3-568e-fe90-9814-8d621ff8fb84" ma:anchorId="fba54fb3-c3e1-fe81-a776-ca4b69148c4d" ma:open="true" ma:isKeyword="false">
      <xsd:complexType>
        <xsd:sequence>
          <xsd:element ref="pc:Terms" minOccurs="0" maxOccurs="1"/>
        </xsd:sequence>
      </xsd:complexType>
    </xsd:element>
    <xsd:element name="MediaServiceOCR" ma:index="31" nillable="true" ma:displayName="Extracted Text" ma:internalName="MediaServiceOCR" ma:readOnly="true">
      <xsd:simpleType>
        <xsd:restriction base="dms:Note">
          <xsd:maxLength value="255"/>
        </xsd:restriction>
      </xsd:simpleType>
    </xsd:element>
    <xsd:element name="MediaServiceLocation" ma:index="3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8"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1949E7-5492-43C6-95FF-51F40E6C82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9f97e2-5c04-4da0-b81c-64d70f999e80"/>
    <ds:schemaRef ds:uri="http://schemas.microsoft.com/sharepoint/v3/fields"/>
    <ds:schemaRef ds:uri="362164c7-0f86-41eb-b0f3-766db27040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0F1E53-718B-4817-AEF5-DC184A33A6E6}">
  <ds:schemaRefs>
    <ds:schemaRef ds:uri="http://schemas.microsoft.com/sharepoint/events"/>
  </ds:schemaRefs>
</ds:datastoreItem>
</file>

<file path=customXml/itemProps3.xml><?xml version="1.0" encoding="utf-8"?>
<ds:datastoreItem xmlns:ds="http://schemas.openxmlformats.org/officeDocument/2006/customXml" ds:itemID="{F20F1577-1C44-49ED-B9F4-8BC10ED73A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517</Words>
  <Characters>2854</Characters>
  <Application>Microsoft Office Word</Application>
  <DocSecurity>0</DocSecurity>
  <Lines>40</Lines>
  <Paragraphs>10</Paragraphs>
  <ScaleCrop>false</ScaleCrop>
  <Company/>
  <LinksUpToDate>false</LinksUpToDate>
  <CharactersWithSpaces>3361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Chingari - Supplement to PPM - Reg S - 11-2-2021.pdf</dc:title>
  <dc:creator>KimberlyChan</dc:creator>
  <cp:lastModifiedBy>Andrew Grant</cp:lastModifiedBy>
  <cp:revision>15</cp:revision>
  <dcterms:created xsi:type="dcterms:W3CDTF">2023-12-08T15:43:00Z</dcterms:created>
  <dcterms:modified xsi:type="dcterms:W3CDTF">2023-12-11T17:27:00Z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2021-11-02T00:00:00Z</vt:filetime>
  </property>
  <property fmtid="{D5CDD505-2E9C-101B-9397-08002B2CF9AE}" pid="3" name="Creator">
    <vt:lpwstr>PScript5.dll Version 5.2.2</vt:lpwstr>
  </property>
  <property fmtid="{D5CDD505-2E9C-101B-9397-08002B2CF9AE}" pid="4" name="LastSaved">
    <vt:filetime>2022-07-01T00:00:00Z</vt:filetime>
  </property>
</Properties>
</file>