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F36E" w14:textId="1C012A25" w:rsidR="00E23215" w:rsidRPr="00E00CFC" w:rsidRDefault="00E30361" w:rsidP="00A3764A">
      <w:pPr>
        <w:autoSpaceDE w:val="0"/>
        <w:autoSpaceDN w:val="0"/>
        <w:adjustRightInd w:val="0"/>
        <w:spacing w:before="0" w:after="240"/>
        <w:ind w:firstLine="0"/>
        <w:jc w:val="both"/>
        <w:rPr>
          <w:sz w:val="22"/>
          <w:szCs w:val="22"/>
        </w:rPr>
      </w:pPr>
      <w:r w:rsidRPr="00B757AB">
        <w:rPr>
          <w:sz w:val="22"/>
          <w:szCs w:val="22"/>
        </w:rPr>
        <w:t>THIS INSTRUMENT HAS BEEN ISSUED PURSUANT TO SECTION 4(A)(6) OF THE SECURITIES ACT OF 1933, AS AMENDED (THE “</w:t>
      </w:r>
      <w:r w:rsidRPr="004A4C72">
        <w:rPr>
          <w:b/>
          <w:sz w:val="22"/>
          <w:szCs w:val="22"/>
        </w:rPr>
        <w:t>SECURITIES ACT</w:t>
      </w:r>
      <w:r w:rsidRPr="00B757AB">
        <w:rPr>
          <w:sz w:val="22"/>
          <w:szCs w:val="22"/>
        </w:rPr>
        <w:t>”), AND NEITHER IT NOR ANY SECURITIES ISSUABLE PURSUANT HERETO HAV</w:t>
      </w:r>
      <w:bookmarkStart w:id="0" w:name="_GoBack"/>
      <w:bookmarkEnd w:id="0"/>
      <w:r w:rsidRPr="00B757AB">
        <w:rPr>
          <w:sz w:val="22"/>
          <w:szCs w:val="22"/>
        </w:rPr>
        <w:t xml:space="preserve">E BEEN REGISTERED UNDER THE SECURITIES ACT OR THE SECURITIES LAWS OF ANY STATE.  THESE SECURITIES MAY NOT BE OFFERED, SOLD OR OTHERWISE TRANSFERRED, PLEDGED OR HYPOTHECATED EXCEPT AS PERMITTED BY RULE 501 OF REGULATION CROWDFUNDING UNDER THE </w:t>
      </w:r>
      <w:r w:rsidR="00366ADB">
        <w:rPr>
          <w:sz w:val="22"/>
          <w:szCs w:val="22"/>
        </w:rPr>
        <w:t xml:space="preserve">SECURITIES </w:t>
      </w:r>
      <w:r w:rsidR="001D7B14" w:rsidRPr="00E00CFC">
        <w:rPr>
          <w:sz w:val="22"/>
          <w:szCs w:val="22"/>
        </w:rPr>
        <w:t xml:space="preserve">ACT AND APPLICABLE STATE </w:t>
      </w:r>
      <w:r w:rsidRPr="00B757AB">
        <w:rPr>
          <w:sz w:val="22"/>
          <w:szCs w:val="22"/>
        </w:rPr>
        <w:t xml:space="preserve">SECURITIES </w:t>
      </w:r>
      <w:r w:rsidR="001D7B14" w:rsidRPr="00E00CFC">
        <w:rPr>
          <w:sz w:val="22"/>
          <w:szCs w:val="22"/>
        </w:rPr>
        <w:t>LAWS</w:t>
      </w:r>
      <w:r w:rsidRPr="00B757AB">
        <w:rPr>
          <w:sz w:val="22"/>
          <w:szCs w:val="22"/>
        </w:rPr>
        <w:t xml:space="preserve"> OR PURSUANT TO AN EFFECTIVE REGISTRATION STATEMENT </w:t>
      </w:r>
      <w:r w:rsidRPr="00E00CFC">
        <w:rPr>
          <w:sz w:val="22"/>
          <w:szCs w:val="22"/>
        </w:rPr>
        <w:t>OR EXEMPTION THEREFROM</w:t>
      </w:r>
      <w:r w:rsidR="001D7B14" w:rsidRPr="00E00CFC">
        <w:rPr>
          <w:sz w:val="22"/>
          <w:szCs w:val="22"/>
        </w:rPr>
        <w:t xml:space="preserve">. </w:t>
      </w:r>
      <w:r w:rsidR="003F2D90" w:rsidRPr="00E00CFC">
        <w:rPr>
          <w:sz w:val="22"/>
          <w:szCs w:val="22"/>
        </w:rPr>
        <w:t xml:space="preserve"> </w:t>
      </w:r>
    </w:p>
    <w:p w14:paraId="0C993846" w14:textId="7E14A784" w:rsidR="00E23215" w:rsidRPr="00D2772C" w:rsidRDefault="00D2772C" w:rsidP="00A3764A">
      <w:pPr>
        <w:autoSpaceDE w:val="0"/>
        <w:autoSpaceDN w:val="0"/>
        <w:adjustRightInd w:val="0"/>
        <w:spacing w:before="0" w:after="240"/>
        <w:ind w:firstLine="0"/>
        <w:jc w:val="center"/>
        <w:rPr>
          <w:b/>
          <w:sz w:val="22"/>
          <w:szCs w:val="22"/>
        </w:rPr>
      </w:pPr>
      <w:r w:rsidRPr="00D2772C">
        <w:rPr>
          <w:b/>
          <w:sz w:val="22"/>
        </w:rPr>
        <w:t>RACEYA, INC.</w:t>
      </w:r>
    </w:p>
    <w:p w14:paraId="6D108F92" w14:textId="77777777" w:rsidR="00E23215" w:rsidRPr="00E00CFC" w:rsidRDefault="00F4239E" w:rsidP="00A3764A">
      <w:pPr>
        <w:autoSpaceDE w:val="0"/>
        <w:autoSpaceDN w:val="0"/>
        <w:adjustRightInd w:val="0"/>
        <w:spacing w:before="0" w:after="240"/>
        <w:ind w:firstLine="0"/>
        <w:jc w:val="center"/>
        <w:outlineLvl w:val="0"/>
        <w:rPr>
          <w:b/>
          <w:sz w:val="22"/>
          <w:szCs w:val="22"/>
        </w:rPr>
      </w:pPr>
      <w:r>
        <w:rPr>
          <w:b/>
          <w:sz w:val="22"/>
          <w:szCs w:val="22"/>
        </w:rPr>
        <w:t xml:space="preserve">CROWD </w:t>
      </w:r>
      <w:r w:rsidR="005F0A92" w:rsidRPr="00E00CFC">
        <w:rPr>
          <w:b/>
          <w:sz w:val="22"/>
          <w:szCs w:val="22"/>
        </w:rPr>
        <w:t>SAFE</w:t>
      </w:r>
      <w:r w:rsidR="00843FC4" w:rsidRPr="00E00CFC">
        <w:rPr>
          <w:b/>
          <w:sz w:val="22"/>
          <w:szCs w:val="22"/>
        </w:rPr>
        <w:t xml:space="preserve"> </w:t>
      </w:r>
    </w:p>
    <w:p w14:paraId="30762360" w14:textId="59405761" w:rsidR="00E23215" w:rsidRPr="00A3764A" w:rsidRDefault="00E05C7D" w:rsidP="00A3764A">
      <w:pPr>
        <w:autoSpaceDE w:val="0"/>
        <w:autoSpaceDN w:val="0"/>
        <w:adjustRightInd w:val="0"/>
        <w:spacing w:before="0" w:after="240"/>
        <w:ind w:firstLine="0"/>
        <w:jc w:val="center"/>
        <w:outlineLvl w:val="0"/>
        <w:rPr>
          <w:b/>
          <w:sz w:val="22"/>
          <w:szCs w:val="22"/>
        </w:rPr>
      </w:pPr>
      <w:r w:rsidRPr="00E00CFC">
        <w:rPr>
          <w:b/>
          <w:sz w:val="22"/>
          <w:szCs w:val="22"/>
        </w:rPr>
        <w:t>(</w:t>
      </w:r>
      <w:r w:rsidR="005714A0">
        <w:rPr>
          <w:b/>
          <w:sz w:val="22"/>
          <w:szCs w:val="22"/>
        </w:rPr>
        <w:t xml:space="preserve">Crowdfunding </w:t>
      </w:r>
      <w:r w:rsidRPr="00E00CFC">
        <w:rPr>
          <w:b/>
          <w:sz w:val="22"/>
          <w:szCs w:val="22"/>
        </w:rPr>
        <w:t>Simple Agreement for Future Equity)</w:t>
      </w:r>
    </w:p>
    <w:p w14:paraId="5F1AB5D5" w14:textId="7AE39F33" w:rsidR="00BD4B21" w:rsidRPr="00A3764A" w:rsidRDefault="00AF1458" w:rsidP="00A3764A">
      <w:pPr>
        <w:autoSpaceDE w:val="0"/>
        <w:autoSpaceDN w:val="0"/>
        <w:adjustRightInd w:val="0"/>
        <w:spacing w:before="0" w:after="240"/>
        <w:jc w:val="both"/>
        <w:rPr>
          <w:sz w:val="22"/>
          <w:szCs w:val="22"/>
        </w:rPr>
      </w:pPr>
      <w:r w:rsidRPr="00E00CFC">
        <w:rPr>
          <w:sz w:val="22"/>
          <w:szCs w:val="22"/>
        </w:rPr>
        <w:t>THIS CERTIFIES THAT</w:t>
      </w:r>
      <w:r w:rsidR="009815CF" w:rsidRPr="00E00CFC">
        <w:rPr>
          <w:sz w:val="22"/>
          <w:szCs w:val="22"/>
        </w:rPr>
        <w:t xml:space="preserve"> in exchange for </w:t>
      </w:r>
      <w:r w:rsidR="00D2656D" w:rsidRPr="00E00CFC">
        <w:rPr>
          <w:sz w:val="22"/>
          <w:szCs w:val="22"/>
        </w:rPr>
        <w:t xml:space="preserve">the payment by </w:t>
      </w:r>
      <w:r w:rsidR="00D2656D" w:rsidRPr="000D1359">
        <w:rPr>
          <w:sz w:val="22"/>
          <w:highlight w:val="yellow"/>
        </w:rPr>
        <w:t>[</w:t>
      </w:r>
      <w:r w:rsidR="0072228A" w:rsidRPr="000D1359">
        <w:rPr>
          <w:sz w:val="22"/>
          <w:highlight w:val="yellow"/>
        </w:rPr>
        <w:t>Investor Name</w:t>
      </w:r>
      <w:r w:rsidR="00D2656D" w:rsidRPr="000D1359">
        <w:rPr>
          <w:sz w:val="22"/>
          <w:highlight w:val="yellow"/>
        </w:rPr>
        <w:t>]</w:t>
      </w:r>
      <w:r w:rsidR="00D2656D" w:rsidRPr="00E00CFC">
        <w:rPr>
          <w:sz w:val="22"/>
          <w:szCs w:val="22"/>
        </w:rPr>
        <w:t xml:space="preserve"> (the “</w:t>
      </w:r>
      <w:r w:rsidR="00D2656D" w:rsidRPr="00E00CFC">
        <w:rPr>
          <w:b/>
          <w:sz w:val="22"/>
          <w:szCs w:val="22"/>
        </w:rPr>
        <w:t>Investor</w:t>
      </w:r>
      <w:r w:rsidR="00D2656D" w:rsidRPr="00E00CFC">
        <w:rPr>
          <w:sz w:val="22"/>
          <w:szCs w:val="22"/>
        </w:rPr>
        <w:t>”) of</w:t>
      </w:r>
      <w:r w:rsidR="009815CF" w:rsidRPr="00E00CFC">
        <w:rPr>
          <w:sz w:val="22"/>
          <w:szCs w:val="22"/>
        </w:rPr>
        <w:t xml:space="preserve"> </w:t>
      </w:r>
      <w:r w:rsidR="008B743B" w:rsidRPr="00E00CFC">
        <w:rPr>
          <w:sz w:val="22"/>
          <w:szCs w:val="22"/>
        </w:rPr>
        <w:t>$</w:t>
      </w:r>
      <w:r w:rsidR="008B743B" w:rsidRPr="00D443B3">
        <w:rPr>
          <w:sz w:val="22"/>
          <w:szCs w:val="22"/>
          <w:highlight w:val="yellow"/>
        </w:rPr>
        <w:t>[</w:t>
      </w:r>
      <w:r w:rsidR="0072228A" w:rsidRPr="00D443B3">
        <w:rPr>
          <w:i/>
          <w:sz w:val="22"/>
          <w:szCs w:val="22"/>
          <w:highlight w:val="yellow"/>
        </w:rPr>
        <w:t>________</w:t>
      </w:r>
      <w:r w:rsidR="009815CF" w:rsidRPr="00D443B3">
        <w:rPr>
          <w:sz w:val="22"/>
          <w:szCs w:val="22"/>
          <w:highlight w:val="yellow"/>
        </w:rPr>
        <w:t>]</w:t>
      </w:r>
      <w:r w:rsidR="009815CF" w:rsidRPr="00E00CFC">
        <w:rPr>
          <w:sz w:val="22"/>
          <w:szCs w:val="22"/>
        </w:rPr>
        <w:t xml:space="preserve"> (the “</w:t>
      </w:r>
      <w:r w:rsidR="009815CF" w:rsidRPr="00E00CFC">
        <w:rPr>
          <w:b/>
          <w:sz w:val="22"/>
          <w:szCs w:val="22"/>
        </w:rPr>
        <w:t>Purchase Amount</w:t>
      </w:r>
      <w:r w:rsidR="009815CF" w:rsidRPr="00E00CFC">
        <w:rPr>
          <w:sz w:val="22"/>
          <w:szCs w:val="22"/>
        </w:rPr>
        <w:t>”)</w:t>
      </w:r>
      <w:r w:rsidR="00926BE7" w:rsidRPr="00E00CFC">
        <w:rPr>
          <w:sz w:val="22"/>
          <w:szCs w:val="22"/>
        </w:rPr>
        <w:t xml:space="preserve"> on or about </w:t>
      </w:r>
      <w:r w:rsidR="00926BE7" w:rsidRPr="000D1359">
        <w:rPr>
          <w:sz w:val="22"/>
          <w:highlight w:val="yellow"/>
        </w:rPr>
        <w:t>[</w:t>
      </w:r>
      <w:r w:rsidR="0072228A" w:rsidRPr="000D1359">
        <w:rPr>
          <w:sz w:val="22"/>
          <w:highlight w:val="yellow"/>
        </w:rPr>
        <w:t xml:space="preserve">Date of </w:t>
      </w:r>
      <w:r w:rsidR="00886B95" w:rsidRPr="000D1359">
        <w:rPr>
          <w:sz w:val="22"/>
          <w:highlight w:val="yellow"/>
        </w:rPr>
        <w:t xml:space="preserve">Crowd </w:t>
      </w:r>
      <w:r w:rsidR="00F4239E" w:rsidRPr="000D1359">
        <w:rPr>
          <w:sz w:val="22"/>
          <w:highlight w:val="yellow"/>
        </w:rPr>
        <w:t>Safe</w:t>
      </w:r>
      <w:r w:rsidR="00926BE7" w:rsidRPr="000D1359">
        <w:rPr>
          <w:sz w:val="22"/>
          <w:highlight w:val="yellow"/>
        </w:rPr>
        <w:t>]</w:t>
      </w:r>
      <w:r w:rsidR="00D2656D" w:rsidRPr="00E00CFC">
        <w:rPr>
          <w:sz w:val="22"/>
          <w:szCs w:val="22"/>
        </w:rPr>
        <w:t>,</w:t>
      </w:r>
      <w:r w:rsidR="00B0749F" w:rsidRPr="00E00CFC">
        <w:rPr>
          <w:sz w:val="22"/>
          <w:szCs w:val="22"/>
        </w:rPr>
        <w:t xml:space="preserve"> </w:t>
      </w:r>
      <w:proofErr w:type="spellStart"/>
      <w:r w:rsidR="00D2772C" w:rsidRPr="00D2772C">
        <w:rPr>
          <w:sz w:val="22"/>
        </w:rPr>
        <w:t>RaceYa</w:t>
      </w:r>
      <w:proofErr w:type="spellEnd"/>
      <w:r w:rsidR="00D2772C" w:rsidRPr="00D2772C">
        <w:rPr>
          <w:sz w:val="22"/>
        </w:rPr>
        <w:t>, Inc.</w:t>
      </w:r>
      <w:r w:rsidR="001D7B14" w:rsidRPr="00E00CFC">
        <w:rPr>
          <w:sz w:val="22"/>
          <w:szCs w:val="22"/>
        </w:rPr>
        <w:t xml:space="preserve">, a </w:t>
      </w:r>
      <w:r w:rsidR="00D2772C">
        <w:rPr>
          <w:sz w:val="22"/>
          <w:szCs w:val="22"/>
        </w:rPr>
        <w:t>Delaware</w:t>
      </w:r>
      <w:r w:rsidR="001D7B14" w:rsidRPr="00E00CFC">
        <w:rPr>
          <w:sz w:val="22"/>
          <w:szCs w:val="22"/>
        </w:rPr>
        <w:t xml:space="preserve"> corporation (the “</w:t>
      </w:r>
      <w:r w:rsidR="001D7B14" w:rsidRPr="00E00CFC">
        <w:rPr>
          <w:b/>
          <w:sz w:val="22"/>
          <w:szCs w:val="22"/>
        </w:rPr>
        <w:t>Company</w:t>
      </w:r>
      <w:r w:rsidR="001D7B14" w:rsidRPr="00E00CFC">
        <w:rPr>
          <w:sz w:val="22"/>
          <w:szCs w:val="22"/>
        </w:rPr>
        <w:t>”), hereby issues</w:t>
      </w:r>
      <w:r w:rsidR="00BE6955" w:rsidRPr="00E00CFC">
        <w:rPr>
          <w:sz w:val="22"/>
          <w:szCs w:val="22"/>
        </w:rPr>
        <w:t xml:space="preserve"> to </w:t>
      </w:r>
      <w:r w:rsidR="00D2656D" w:rsidRPr="00E00CFC">
        <w:rPr>
          <w:sz w:val="22"/>
          <w:szCs w:val="22"/>
        </w:rPr>
        <w:t>the Investor</w:t>
      </w:r>
      <w:r w:rsidR="00BE6955" w:rsidRPr="00E00CFC">
        <w:rPr>
          <w:sz w:val="22"/>
          <w:szCs w:val="22"/>
        </w:rPr>
        <w:t xml:space="preserve"> the</w:t>
      </w:r>
      <w:r w:rsidR="00281FE4" w:rsidRPr="00E00CFC">
        <w:rPr>
          <w:sz w:val="22"/>
          <w:szCs w:val="22"/>
        </w:rPr>
        <w:t xml:space="preserve"> </w:t>
      </w:r>
      <w:r w:rsidR="00BE6955" w:rsidRPr="00E00CFC">
        <w:rPr>
          <w:sz w:val="22"/>
          <w:szCs w:val="22"/>
        </w:rPr>
        <w:t>right to certain shares of the Company’s capital stock</w:t>
      </w:r>
      <w:r w:rsidR="00C53054" w:rsidRPr="00E00CFC">
        <w:rPr>
          <w:sz w:val="22"/>
          <w:szCs w:val="22"/>
        </w:rPr>
        <w:t>, subject to the terms set forth below</w:t>
      </w:r>
      <w:r w:rsidR="00C96D36" w:rsidRPr="00E00CFC">
        <w:rPr>
          <w:sz w:val="22"/>
          <w:szCs w:val="22"/>
        </w:rPr>
        <w:t>.</w:t>
      </w:r>
      <w:r w:rsidR="001D7B14" w:rsidRPr="00E00CFC">
        <w:rPr>
          <w:sz w:val="22"/>
          <w:szCs w:val="22"/>
        </w:rPr>
        <w:t xml:space="preserve"> </w:t>
      </w:r>
    </w:p>
    <w:p w14:paraId="130C8C05" w14:textId="5C433A23" w:rsidR="009A7337" w:rsidRDefault="009A7337" w:rsidP="00A3764A">
      <w:pPr>
        <w:autoSpaceDE w:val="0"/>
        <w:autoSpaceDN w:val="0"/>
        <w:adjustRightInd w:val="0"/>
        <w:spacing w:before="0" w:after="240"/>
        <w:jc w:val="both"/>
        <w:rPr>
          <w:sz w:val="22"/>
          <w:szCs w:val="22"/>
        </w:rPr>
      </w:pPr>
      <w:r>
        <w:rPr>
          <w:sz w:val="22"/>
          <w:szCs w:val="22"/>
        </w:rPr>
        <w:t>The “</w:t>
      </w:r>
      <w:r w:rsidRPr="000D1359">
        <w:rPr>
          <w:b/>
          <w:sz w:val="22"/>
          <w:szCs w:val="22"/>
        </w:rPr>
        <w:t>Discount Rate</w:t>
      </w:r>
      <w:r>
        <w:rPr>
          <w:sz w:val="22"/>
          <w:szCs w:val="22"/>
        </w:rPr>
        <w:t xml:space="preserve">” is </w:t>
      </w:r>
      <w:r w:rsidR="00D2772C" w:rsidRPr="00D2772C">
        <w:rPr>
          <w:sz w:val="22"/>
          <w:szCs w:val="22"/>
        </w:rPr>
        <w:t>75</w:t>
      </w:r>
      <w:r>
        <w:rPr>
          <w:sz w:val="22"/>
          <w:szCs w:val="22"/>
        </w:rPr>
        <w:t>%.</w:t>
      </w:r>
    </w:p>
    <w:p w14:paraId="1CFD427F" w14:textId="6C52E713" w:rsidR="00D443B3" w:rsidRDefault="00BD4B21" w:rsidP="00A3764A">
      <w:pPr>
        <w:autoSpaceDE w:val="0"/>
        <w:autoSpaceDN w:val="0"/>
        <w:adjustRightInd w:val="0"/>
        <w:spacing w:before="0" w:after="240"/>
        <w:jc w:val="both"/>
        <w:rPr>
          <w:sz w:val="22"/>
          <w:szCs w:val="22"/>
        </w:rPr>
      </w:pPr>
      <w:r>
        <w:rPr>
          <w:sz w:val="22"/>
          <w:szCs w:val="22"/>
        </w:rPr>
        <w:t>The “</w:t>
      </w:r>
      <w:r w:rsidRPr="000D1359">
        <w:rPr>
          <w:b/>
          <w:sz w:val="22"/>
          <w:szCs w:val="22"/>
        </w:rPr>
        <w:t>Valuation Cap</w:t>
      </w:r>
      <w:r w:rsidR="00D2772C">
        <w:rPr>
          <w:sz w:val="22"/>
          <w:szCs w:val="22"/>
        </w:rPr>
        <w:t>” is $5,000,000</w:t>
      </w:r>
      <w:r w:rsidRPr="009A7337">
        <w:rPr>
          <w:sz w:val="22"/>
          <w:szCs w:val="22"/>
        </w:rPr>
        <w:t>.</w:t>
      </w:r>
    </w:p>
    <w:p w14:paraId="3AECB131" w14:textId="77777777" w:rsidR="00BD4B21" w:rsidRPr="00AA775C" w:rsidRDefault="00BD4B21" w:rsidP="008A2CEC">
      <w:pPr>
        <w:autoSpaceDE w:val="0"/>
        <w:autoSpaceDN w:val="0"/>
        <w:adjustRightInd w:val="0"/>
        <w:spacing w:before="0"/>
        <w:jc w:val="both"/>
        <w:rPr>
          <w:sz w:val="22"/>
          <w:szCs w:val="22"/>
        </w:rPr>
      </w:pPr>
      <w:r>
        <w:rPr>
          <w:sz w:val="22"/>
          <w:szCs w:val="22"/>
        </w:rPr>
        <w:t>See Section 2 for certain additional defined terms.</w:t>
      </w:r>
    </w:p>
    <w:p w14:paraId="02ACA699" w14:textId="59EB9F91" w:rsidR="00543E23" w:rsidRPr="00A3764A" w:rsidRDefault="00F4239E" w:rsidP="00A3764A">
      <w:pPr>
        <w:tabs>
          <w:tab w:val="left" w:pos="720"/>
        </w:tabs>
        <w:autoSpaceDE w:val="0"/>
        <w:autoSpaceDN w:val="0"/>
        <w:adjustRightInd w:val="0"/>
        <w:spacing w:after="240"/>
        <w:ind w:firstLine="0"/>
        <w:jc w:val="both"/>
        <w:outlineLvl w:val="0"/>
        <w:rPr>
          <w:b/>
          <w:i/>
          <w:sz w:val="22"/>
          <w:szCs w:val="22"/>
        </w:rPr>
      </w:pPr>
      <w:r>
        <w:rPr>
          <w:b/>
          <w:sz w:val="22"/>
          <w:szCs w:val="22"/>
        </w:rPr>
        <w:t>1</w:t>
      </w:r>
      <w:r w:rsidR="00543E23" w:rsidRPr="00E00CFC">
        <w:rPr>
          <w:b/>
          <w:sz w:val="22"/>
          <w:szCs w:val="22"/>
        </w:rPr>
        <w:t>.</w:t>
      </w:r>
      <w:r w:rsidR="008A2CEC" w:rsidRPr="00E00CFC">
        <w:rPr>
          <w:b/>
          <w:sz w:val="22"/>
          <w:szCs w:val="22"/>
        </w:rPr>
        <w:t xml:space="preserve">  </w:t>
      </w:r>
      <w:r w:rsidR="002C16BC" w:rsidRPr="00E00CFC">
        <w:rPr>
          <w:b/>
          <w:i/>
          <w:sz w:val="22"/>
          <w:szCs w:val="22"/>
        </w:rPr>
        <w:t>Events</w:t>
      </w:r>
    </w:p>
    <w:p w14:paraId="347FF3B4" w14:textId="77777777" w:rsidR="00E750D5" w:rsidRDefault="00543E23" w:rsidP="008A2CEC">
      <w:pPr>
        <w:widowControl w:val="0"/>
        <w:tabs>
          <w:tab w:val="left" w:pos="360"/>
        </w:tabs>
        <w:autoSpaceDE w:val="0"/>
        <w:autoSpaceDN w:val="0"/>
        <w:adjustRightInd w:val="0"/>
        <w:spacing w:before="0" w:after="24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r>
      <w:r w:rsidR="007010C4" w:rsidRPr="00E00CFC">
        <w:rPr>
          <w:b/>
          <w:sz w:val="22"/>
          <w:szCs w:val="22"/>
          <w:u w:val="single"/>
        </w:rPr>
        <w:t>Equity Financing</w:t>
      </w:r>
      <w:r w:rsidR="007010C4" w:rsidRPr="00E00CFC">
        <w:rPr>
          <w:sz w:val="22"/>
          <w:szCs w:val="22"/>
        </w:rPr>
        <w:t>.</w:t>
      </w:r>
      <w:r w:rsidR="00EC124A" w:rsidRPr="00E00CFC">
        <w:rPr>
          <w:sz w:val="22"/>
          <w:szCs w:val="22"/>
        </w:rPr>
        <w:t xml:space="preserve"> </w:t>
      </w:r>
      <w:r w:rsidR="008A02B9">
        <w:rPr>
          <w:sz w:val="22"/>
          <w:szCs w:val="22"/>
        </w:rPr>
        <w:t xml:space="preserve"> </w:t>
      </w:r>
    </w:p>
    <w:p w14:paraId="2BB51C1B" w14:textId="77777777" w:rsidR="005714A0" w:rsidRDefault="00E750D5" w:rsidP="008A2CEC">
      <w:pPr>
        <w:widowControl w:val="0"/>
        <w:tabs>
          <w:tab w:val="left" w:pos="360"/>
        </w:tabs>
        <w:autoSpaceDE w:val="0"/>
        <w:autoSpaceDN w:val="0"/>
        <w:adjustRightInd w:val="0"/>
        <w:spacing w:before="0"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r>
      <w:r w:rsidR="005714A0">
        <w:rPr>
          <w:sz w:val="22"/>
          <w:szCs w:val="22"/>
        </w:rPr>
        <w:t>If an</w:t>
      </w:r>
      <w:r w:rsidR="005714A0" w:rsidRPr="00E00CFC">
        <w:rPr>
          <w:sz w:val="22"/>
          <w:szCs w:val="22"/>
        </w:rPr>
        <w:t xml:space="preserve"> Equity Financing </w:t>
      </w:r>
      <w:r w:rsidR="005714A0">
        <w:rPr>
          <w:sz w:val="22"/>
          <w:szCs w:val="22"/>
        </w:rPr>
        <w:t xml:space="preserve">occurs </w:t>
      </w:r>
      <w:r w:rsidR="005714A0" w:rsidRPr="00E00CFC">
        <w:rPr>
          <w:sz w:val="22"/>
          <w:szCs w:val="22"/>
        </w:rPr>
        <w:t>before this instrument terminates in accordance with Section</w:t>
      </w:r>
      <w:r w:rsidR="005714A0">
        <w:rPr>
          <w:sz w:val="22"/>
          <w:szCs w:val="22"/>
        </w:rPr>
        <w:t>s</w:t>
      </w:r>
      <w:r w:rsidR="005714A0" w:rsidRPr="00E00CFC">
        <w:rPr>
          <w:sz w:val="22"/>
          <w:szCs w:val="22"/>
        </w:rPr>
        <w:t xml:space="preserve"> 1(</w:t>
      </w:r>
      <w:r w:rsidR="00442F87">
        <w:rPr>
          <w:sz w:val="22"/>
          <w:szCs w:val="22"/>
        </w:rPr>
        <w:t>b)-</w:t>
      </w:r>
      <w:r w:rsidR="005714A0">
        <w:rPr>
          <w:sz w:val="22"/>
          <w:szCs w:val="22"/>
        </w:rPr>
        <w:t>(d</w:t>
      </w:r>
      <w:r w:rsidR="005714A0" w:rsidRPr="00E00CFC">
        <w:rPr>
          <w:sz w:val="22"/>
          <w:szCs w:val="22"/>
        </w:rPr>
        <w:t xml:space="preserve">) </w:t>
      </w:r>
      <w:r w:rsidR="005714A0">
        <w:rPr>
          <w:sz w:val="22"/>
          <w:szCs w:val="22"/>
        </w:rPr>
        <w:t>(“</w:t>
      </w:r>
      <w:r w:rsidR="005714A0" w:rsidRPr="00F97ACF">
        <w:rPr>
          <w:b/>
          <w:sz w:val="22"/>
          <w:szCs w:val="22"/>
        </w:rPr>
        <w:t>First Equity Financing</w:t>
      </w:r>
      <w:r w:rsidR="005714A0">
        <w:rPr>
          <w:sz w:val="22"/>
          <w:szCs w:val="22"/>
        </w:rPr>
        <w:t>”)</w:t>
      </w:r>
      <w:r w:rsidR="005714A0" w:rsidRPr="00E00CFC">
        <w:rPr>
          <w:sz w:val="22"/>
          <w:szCs w:val="22"/>
        </w:rPr>
        <w:t xml:space="preserve">, the Company </w:t>
      </w:r>
      <w:r w:rsidR="005714A0">
        <w:rPr>
          <w:sz w:val="22"/>
          <w:szCs w:val="22"/>
        </w:rPr>
        <w:t xml:space="preserve">shall notify the Investor of the closing of the </w:t>
      </w:r>
      <w:r w:rsidR="005714A0" w:rsidRPr="00CE24D3">
        <w:rPr>
          <w:sz w:val="22"/>
          <w:szCs w:val="22"/>
        </w:rPr>
        <w:t>First Equity Financing</w:t>
      </w:r>
      <w:r w:rsidR="005714A0">
        <w:rPr>
          <w:sz w:val="22"/>
          <w:szCs w:val="22"/>
        </w:rPr>
        <w:t xml:space="preserve"> and of the Company’s discretionary decision to either (1)</w:t>
      </w:r>
      <w:r w:rsidR="005714A0" w:rsidRPr="00E00CFC">
        <w:rPr>
          <w:sz w:val="22"/>
          <w:szCs w:val="22"/>
        </w:rPr>
        <w:t xml:space="preserve"> </w:t>
      </w:r>
      <w:r w:rsidR="005714A0">
        <w:rPr>
          <w:sz w:val="22"/>
          <w:szCs w:val="22"/>
        </w:rPr>
        <w:t>continue the term of this Crowd S</w:t>
      </w:r>
      <w:r w:rsidR="00F4239E">
        <w:rPr>
          <w:sz w:val="22"/>
          <w:szCs w:val="22"/>
        </w:rPr>
        <w:t>afe</w:t>
      </w:r>
      <w:r w:rsidR="005714A0">
        <w:rPr>
          <w:sz w:val="22"/>
          <w:szCs w:val="22"/>
        </w:rPr>
        <w:t xml:space="preserve"> without converting the Purchase Amount to </w:t>
      </w:r>
      <w:r w:rsidR="00813D25">
        <w:rPr>
          <w:sz w:val="22"/>
          <w:szCs w:val="22"/>
        </w:rPr>
        <w:t>C</w:t>
      </w:r>
      <w:r w:rsidR="005714A0">
        <w:rPr>
          <w:sz w:val="22"/>
          <w:szCs w:val="22"/>
        </w:rPr>
        <w:t xml:space="preserve">apital </w:t>
      </w:r>
      <w:r w:rsidR="00813D25">
        <w:rPr>
          <w:sz w:val="22"/>
          <w:szCs w:val="22"/>
        </w:rPr>
        <w:t>S</w:t>
      </w:r>
      <w:r w:rsidR="005714A0">
        <w:rPr>
          <w:sz w:val="22"/>
          <w:szCs w:val="22"/>
        </w:rPr>
        <w:t xml:space="preserve">tock; or (2) </w:t>
      </w:r>
      <w:r w:rsidR="005714A0" w:rsidRPr="00E00CFC">
        <w:rPr>
          <w:sz w:val="22"/>
          <w:szCs w:val="22"/>
        </w:rPr>
        <w:t xml:space="preserve">issue to the Investor a number of shares of </w:t>
      </w:r>
      <w:r w:rsidR="005714A0">
        <w:rPr>
          <w:sz w:val="22"/>
          <w:szCs w:val="22"/>
        </w:rPr>
        <w:t xml:space="preserve">the </w:t>
      </w:r>
      <w:r w:rsidR="00615A3B">
        <w:rPr>
          <w:sz w:val="22"/>
          <w:szCs w:val="22"/>
        </w:rPr>
        <w:t xml:space="preserve">CF </w:t>
      </w:r>
      <w:r w:rsidR="005714A0">
        <w:rPr>
          <w:sz w:val="22"/>
          <w:szCs w:val="22"/>
        </w:rPr>
        <w:t>Shadow Series of</w:t>
      </w:r>
      <w:r w:rsidR="005714A0" w:rsidRPr="00E00CFC">
        <w:rPr>
          <w:sz w:val="22"/>
          <w:szCs w:val="22"/>
        </w:rPr>
        <w:t xml:space="preserve"> Preferred Stock</w:t>
      </w:r>
      <w:r w:rsidR="00813D25">
        <w:rPr>
          <w:sz w:val="22"/>
          <w:szCs w:val="22"/>
        </w:rPr>
        <w:t xml:space="preserve"> </w:t>
      </w:r>
      <w:r w:rsidR="005714A0" w:rsidRPr="00E00CFC">
        <w:rPr>
          <w:sz w:val="22"/>
          <w:szCs w:val="22"/>
        </w:rPr>
        <w:t xml:space="preserve">sold in the </w:t>
      </w:r>
      <w:r w:rsidR="005714A0">
        <w:rPr>
          <w:sz w:val="22"/>
          <w:szCs w:val="22"/>
        </w:rPr>
        <w:t xml:space="preserve">First </w:t>
      </w:r>
      <w:r w:rsidR="005714A0" w:rsidRPr="00E00CFC">
        <w:rPr>
          <w:sz w:val="22"/>
          <w:szCs w:val="22"/>
        </w:rPr>
        <w:t>Equity Financing</w:t>
      </w:r>
      <w:r w:rsidR="00EB597A">
        <w:rPr>
          <w:sz w:val="22"/>
          <w:szCs w:val="22"/>
        </w:rPr>
        <w:t xml:space="preserve">.  The number of shares of </w:t>
      </w:r>
      <w:r w:rsidR="005E27ED">
        <w:rPr>
          <w:sz w:val="22"/>
          <w:szCs w:val="22"/>
        </w:rPr>
        <w:t xml:space="preserve">the CF </w:t>
      </w:r>
      <w:r w:rsidR="005714A0">
        <w:rPr>
          <w:sz w:val="22"/>
          <w:szCs w:val="22"/>
        </w:rPr>
        <w:t xml:space="preserve">Shadow Series </w:t>
      </w:r>
      <w:r w:rsidR="001D722C">
        <w:rPr>
          <w:sz w:val="22"/>
          <w:szCs w:val="22"/>
        </w:rPr>
        <w:t xml:space="preserve">of </w:t>
      </w:r>
      <w:r w:rsidR="00F4239E">
        <w:rPr>
          <w:sz w:val="22"/>
          <w:szCs w:val="22"/>
        </w:rPr>
        <w:t xml:space="preserve">such </w:t>
      </w:r>
      <w:r w:rsidR="001D722C">
        <w:rPr>
          <w:sz w:val="22"/>
          <w:szCs w:val="22"/>
        </w:rPr>
        <w:t xml:space="preserve">Preferred Stock </w:t>
      </w:r>
      <w:r w:rsidR="00EB597A">
        <w:rPr>
          <w:sz w:val="22"/>
          <w:szCs w:val="22"/>
        </w:rPr>
        <w:t>shall</w:t>
      </w:r>
      <w:r w:rsidR="00EC124A" w:rsidRPr="00E00CFC">
        <w:rPr>
          <w:sz w:val="22"/>
          <w:szCs w:val="22"/>
        </w:rPr>
        <w:t xml:space="preserve"> </w:t>
      </w:r>
      <w:r w:rsidR="00617CF5">
        <w:rPr>
          <w:sz w:val="22"/>
          <w:szCs w:val="22"/>
        </w:rPr>
        <w:t xml:space="preserve">equal </w:t>
      </w:r>
      <w:r w:rsidR="00617CF5" w:rsidRPr="0040545E">
        <w:rPr>
          <w:sz w:val="22"/>
          <w:szCs w:val="22"/>
        </w:rPr>
        <w:t xml:space="preserve">the quotient obtained by dividing (x) the </w:t>
      </w:r>
      <w:r w:rsidR="00617CF5">
        <w:rPr>
          <w:sz w:val="22"/>
          <w:szCs w:val="22"/>
        </w:rPr>
        <w:t>Purchase Amount</w:t>
      </w:r>
      <w:r w:rsidR="00617CF5" w:rsidRPr="0040545E">
        <w:rPr>
          <w:sz w:val="22"/>
          <w:szCs w:val="22"/>
        </w:rPr>
        <w:t xml:space="preserve"> by (y) the applicable Conversion Price</w:t>
      </w:r>
      <w:r w:rsidR="00DD025A">
        <w:rPr>
          <w:sz w:val="22"/>
          <w:szCs w:val="22"/>
        </w:rPr>
        <w:t xml:space="preserve"> (</w:t>
      </w:r>
      <w:r w:rsidR="00B8067B">
        <w:rPr>
          <w:sz w:val="22"/>
          <w:szCs w:val="22"/>
        </w:rPr>
        <w:t xml:space="preserve">such applicable Conversion Price, the </w:t>
      </w:r>
      <w:r w:rsidR="00DD025A">
        <w:rPr>
          <w:sz w:val="22"/>
          <w:szCs w:val="22"/>
        </w:rPr>
        <w:t>“</w:t>
      </w:r>
      <w:r w:rsidR="00DD025A" w:rsidRPr="00DD025A">
        <w:rPr>
          <w:b/>
          <w:sz w:val="22"/>
          <w:szCs w:val="22"/>
        </w:rPr>
        <w:t>First Financing Price</w:t>
      </w:r>
      <w:r w:rsidR="00DD025A">
        <w:rPr>
          <w:sz w:val="22"/>
          <w:szCs w:val="22"/>
        </w:rPr>
        <w:t>”)</w:t>
      </w:r>
      <w:r w:rsidR="00E50520" w:rsidRPr="00E00CFC">
        <w:rPr>
          <w:sz w:val="22"/>
          <w:szCs w:val="22"/>
        </w:rPr>
        <w:t>.</w:t>
      </w:r>
      <w:r w:rsidR="000A67E4" w:rsidRPr="00E00CFC">
        <w:rPr>
          <w:sz w:val="22"/>
          <w:szCs w:val="22"/>
        </w:rPr>
        <w:t xml:space="preserve"> </w:t>
      </w:r>
    </w:p>
    <w:p w14:paraId="5E040EE0" w14:textId="1336F37A" w:rsidR="00615A3B" w:rsidRDefault="00E750D5" w:rsidP="00615A3B">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005714A0">
        <w:rPr>
          <w:sz w:val="22"/>
          <w:szCs w:val="22"/>
        </w:rPr>
        <w:t xml:space="preserve">If </w:t>
      </w:r>
      <w:r w:rsidR="00DD025A">
        <w:rPr>
          <w:sz w:val="22"/>
          <w:szCs w:val="22"/>
        </w:rPr>
        <w:t xml:space="preserve">the Company elects to continue the term of this Crowd </w:t>
      </w:r>
      <w:r w:rsidR="00F4239E">
        <w:rPr>
          <w:sz w:val="22"/>
          <w:szCs w:val="22"/>
        </w:rPr>
        <w:t xml:space="preserve">Safe </w:t>
      </w:r>
      <w:r w:rsidR="00DD025A">
        <w:rPr>
          <w:sz w:val="22"/>
          <w:szCs w:val="22"/>
        </w:rPr>
        <w:t xml:space="preserve">past the First Equity Financing and </w:t>
      </w:r>
      <w:r w:rsidR="005714A0">
        <w:rPr>
          <w:sz w:val="22"/>
          <w:szCs w:val="22"/>
        </w:rPr>
        <w:t xml:space="preserve">another </w:t>
      </w:r>
      <w:r w:rsidR="005714A0" w:rsidRPr="00E00CFC">
        <w:rPr>
          <w:sz w:val="22"/>
          <w:szCs w:val="22"/>
        </w:rPr>
        <w:t xml:space="preserve">Equity Financing </w:t>
      </w:r>
      <w:r w:rsidR="005714A0">
        <w:rPr>
          <w:sz w:val="22"/>
          <w:szCs w:val="22"/>
        </w:rPr>
        <w:t xml:space="preserve">occurs </w:t>
      </w:r>
      <w:r w:rsidR="00615A3B">
        <w:rPr>
          <w:sz w:val="22"/>
          <w:szCs w:val="22"/>
        </w:rPr>
        <w:t>before</w:t>
      </w:r>
      <w:r w:rsidR="005714A0">
        <w:rPr>
          <w:sz w:val="22"/>
          <w:szCs w:val="22"/>
        </w:rPr>
        <w:t xml:space="preserve"> the termination of this Crowd S</w:t>
      </w:r>
      <w:r w:rsidR="00F4239E">
        <w:rPr>
          <w:sz w:val="22"/>
          <w:szCs w:val="22"/>
        </w:rPr>
        <w:t>afe</w:t>
      </w:r>
      <w:r w:rsidR="005714A0">
        <w:rPr>
          <w:sz w:val="22"/>
          <w:szCs w:val="22"/>
        </w:rPr>
        <w:t xml:space="preserve"> </w:t>
      </w:r>
      <w:r w:rsidR="005714A0" w:rsidRPr="00E00CFC">
        <w:rPr>
          <w:sz w:val="22"/>
          <w:szCs w:val="22"/>
        </w:rPr>
        <w:t>in accordance with Section</w:t>
      </w:r>
      <w:r w:rsidR="005714A0">
        <w:rPr>
          <w:sz w:val="22"/>
          <w:szCs w:val="22"/>
        </w:rPr>
        <w:t>s</w:t>
      </w:r>
      <w:r w:rsidR="005714A0" w:rsidRPr="00E00CFC">
        <w:rPr>
          <w:sz w:val="22"/>
          <w:szCs w:val="22"/>
        </w:rPr>
        <w:t xml:space="preserve"> 1(</w:t>
      </w:r>
      <w:r w:rsidR="005714A0">
        <w:rPr>
          <w:sz w:val="22"/>
          <w:szCs w:val="22"/>
        </w:rPr>
        <w:t>b)-(d</w:t>
      </w:r>
      <w:r w:rsidR="005714A0" w:rsidRPr="00E00CFC">
        <w:rPr>
          <w:sz w:val="22"/>
          <w:szCs w:val="22"/>
        </w:rPr>
        <w:t xml:space="preserve">) </w:t>
      </w:r>
      <w:r w:rsidR="005714A0">
        <w:rPr>
          <w:sz w:val="22"/>
          <w:szCs w:val="22"/>
        </w:rPr>
        <w:t>(each, a “</w:t>
      </w:r>
      <w:r w:rsidR="005714A0" w:rsidRPr="00C620F6">
        <w:rPr>
          <w:b/>
          <w:sz w:val="22"/>
          <w:szCs w:val="22"/>
        </w:rPr>
        <w:t>Subsequent Equity Financing</w:t>
      </w:r>
      <w:r w:rsidR="005714A0">
        <w:rPr>
          <w:sz w:val="22"/>
          <w:szCs w:val="22"/>
        </w:rPr>
        <w:t xml:space="preserve">”), </w:t>
      </w:r>
      <w:r w:rsidR="005714A0" w:rsidRPr="00E00CFC">
        <w:rPr>
          <w:sz w:val="22"/>
          <w:szCs w:val="22"/>
        </w:rPr>
        <w:t xml:space="preserve">the Company </w:t>
      </w:r>
      <w:r w:rsidR="005714A0">
        <w:rPr>
          <w:sz w:val="22"/>
          <w:szCs w:val="22"/>
        </w:rPr>
        <w:t>shall notify the Investor of the closing of the Subsequent</w:t>
      </w:r>
      <w:r w:rsidR="005714A0" w:rsidRPr="00CE24D3">
        <w:rPr>
          <w:sz w:val="22"/>
          <w:szCs w:val="22"/>
        </w:rPr>
        <w:t xml:space="preserve"> Equity Financing</w:t>
      </w:r>
      <w:r w:rsidR="005714A0">
        <w:rPr>
          <w:sz w:val="22"/>
          <w:szCs w:val="22"/>
        </w:rPr>
        <w:t xml:space="preserve"> and of the Company’s discretionary decision to either (1)</w:t>
      </w:r>
      <w:r w:rsidR="005714A0" w:rsidRPr="00E00CFC">
        <w:rPr>
          <w:sz w:val="22"/>
          <w:szCs w:val="22"/>
        </w:rPr>
        <w:t xml:space="preserve"> </w:t>
      </w:r>
      <w:r w:rsidR="0060238B">
        <w:rPr>
          <w:sz w:val="22"/>
          <w:szCs w:val="22"/>
        </w:rPr>
        <w:t>continue the term</w:t>
      </w:r>
      <w:r w:rsidR="005714A0">
        <w:rPr>
          <w:sz w:val="22"/>
          <w:szCs w:val="22"/>
        </w:rPr>
        <w:t xml:space="preserve"> of this Crowd S</w:t>
      </w:r>
      <w:r w:rsidR="00F4239E">
        <w:rPr>
          <w:sz w:val="22"/>
          <w:szCs w:val="22"/>
        </w:rPr>
        <w:t>afe</w:t>
      </w:r>
      <w:r w:rsidR="005714A0">
        <w:rPr>
          <w:sz w:val="22"/>
          <w:szCs w:val="22"/>
        </w:rPr>
        <w:t xml:space="preserve"> without converting the Investor’s Purchase Amount to </w:t>
      </w:r>
      <w:r w:rsidR="00813D25">
        <w:rPr>
          <w:sz w:val="22"/>
          <w:szCs w:val="22"/>
        </w:rPr>
        <w:t>C</w:t>
      </w:r>
      <w:r w:rsidR="00DD025A">
        <w:rPr>
          <w:sz w:val="22"/>
          <w:szCs w:val="22"/>
        </w:rPr>
        <w:t xml:space="preserve">apital </w:t>
      </w:r>
      <w:r w:rsidR="00813D25">
        <w:rPr>
          <w:sz w:val="22"/>
          <w:szCs w:val="22"/>
        </w:rPr>
        <w:t>S</w:t>
      </w:r>
      <w:r w:rsidR="00DD025A">
        <w:rPr>
          <w:sz w:val="22"/>
          <w:szCs w:val="22"/>
        </w:rPr>
        <w:t>tock</w:t>
      </w:r>
      <w:r w:rsidR="005714A0">
        <w:rPr>
          <w:sz w:val="22"/>
          <w:szCs w:val="22"/>
        </w:rPr>
        <w:t xml:space="preserve">; or (2) </w:t>
      </w:r>
      <w:r w:rsidR="005714A0" w:rsidRPr="00E00CFC">
        <w:rPr>
          <w:sz w:val="22"/>
          <w:szCs w:val="22"/>
        </w:rPr>
        <w:t>issue to the Investor a number of shares</w:t>
      </w:r>
      <w:r w:rsidR="00DD025A">
        <w:rPr>
          <w:sz w:val="22"/>
          <w:szCs w:val="22"/>
        </w:rPr>
        <w:t xml:space="preserve"> of</w:t>
      </w:r>
      <w:r w:rsidR="005714A0" w:rsidRPr="00E00CFC">
        <w:rPr>
          <w:sz w:val="22"/>
          <w:szCs w:val="22"/>
        </w:rPr>
        <w:t xml:space="preserve"> </w:t>
      </w:r>
      <w:r w:rsidR="00DD025A">
        <w:rPr>
          <w:sz w:val="22"/>
          <w:szCs w:val="22"/>
        </w:rPr>
        <w:t xml:space="preserve">the </w:t>
      </w:r>
      <w:r w:rsidR="00615A3B">
        <w:rPr>
          <w:sz w:val="22"/>
          <w:szCs w:val="22"/>
        </w:rPr>
        <w:t xml:space="preserve">CF </w:t>
      </w:r>
      <w:r w:rsidR="00DD025A">
        <w:rPr>
          <w:sz w:val="22"/>
          <w:szCs w:val="22"/>
        </w:rPr>
        <w:t xml:space="preserve">Shadow Series </w:t>
      </w:r>
      <w:r w:rsidR="005714A0" w:rsidRPr="00E00CFC">
        <w:rPr>
          <w:sz w:val="22"/>
          <w:szCs w:val="22"/>
        </w:rPr>
        <w:t xml:space="preserve">of </w:t>
      </w:r>
      <w:r w:rsidR="00DD025A">
        <w:rPr>
          <w:sz w:val="22"/>
          <w:szCs w:val="22"/>
        </w:rPr>
        <w:t>Preferred Stock</w:t>
      </w:r>
      <w:r w:rsidR="005714A0" w:rsidRPr="00E00CFC">
        <w:rPr>
          <w:sz w:val="22"/>
          <w:szCs w:val="22"/>
        </w:rPr>
        <w:t xml:space="preserve"> sold in the </w:t>
      </w:r>
      <w:r w:rsidR="005714A0">
        <w:rPr>
          <w:sz w:val="22"/>
          <w:szCs w:val="22"/>
        </w:rPr>
        <w:t xml:space="preserve">Subsequent </w:t>
      </w:r>
      <w:r w:rsidR="005714A0" w:rsidRPr="00E00CFC">
        <w:rPr>
          <w:sz w:val="22"/>
          <w:szCs w:val="22"/>
        </w:rPr>
        <w:t>Equity Financing</w:t>
      </w:r>
      <w:r w:rsidR="00DD025A">
        <w:rPr>
          <w:sz w:val="22"/>
          <w:szCs w:val="22"/>
        </w:rPr>
        <w:t>.</w:t>
      </w:r>
      <w:r w:rsidR="005714A0" w:rsidRPr="00E00CFC">
        <w:rPr>
          <w:sz w:val="22"/>
          <w:szCs w:val="22"/>
        </w:rPr>
        <w:t xml:space="preserve"> </w:t>
      </w:r>
      <w:r w:rsidR="008A02B9">
        <w:rPr>
          <w:sz w:val="22"/>
          <w:szCs w:val="22"/>
        </w:rPr>
        <w:t xml:space="preserve"> </w:t>
      </w:r>
      <w:r w:rsidR="00DD025A">
        <w:rPr>
          <w:sz w:val="22"/>
          <w:szCs w:val="22"/>
        </w:rPr>
        <w:t xml:space="preserve">The number of shares of </w:t>
      </w:r>
      <w:r w:rsidR="001D722C">
        <w:rPr>
          <w:sz w:val="22"/>
          <w:szCs w:val="22"/>
        </w:rPr>
        <w:t xml:space="preserve">the CF </w:t>
      </w:r>
      <w:r w:rsidR="00DD025A">
        <w:rPr>
          <w:sz w:val="22"/>
          <w:szCs w:val="22"/>
        </w:rPr>
        <w:t>Shadow Series</w:t>
      </w:r>
      <w:r w:rsidR="00615A3B">
        <w:rPr>
          <w:sz w:val="22"/>
          <w:szCs w:val="22"/>
        </w:rPr>
        <w:t xml:space="preserve"> </w:t>
      </w:r>
      <w:r w:rsidR="00F4239E">
        <w:rPr>
          <w:sz w:val="22"/>
          <w:szCs w:val="22"/>
        </w:rPr>
        <w:t>of such Preferred Stock</w:t>
      </w:r>
      <w:r w:rsidR="008A02B9">
        <w:rPr>
          <w:sz w:val="22"/>
          <w:szCs w:val="22"/>
        </w:rPr>
        <w:t xml:space="preserve"> </w:t>
      </w:r>
      <w:r w:rsidR="00DD025A">
        <w:rPr>
          <w:sz w:val="22"/>
          <w:szCs w:val="22"/>
        </w:rPr>
        <w:t>shall</w:t>
      </w:r>
      <w:r w:rsidR="00DD025A" w:rsidRPr="00E00CFC">
        <w:rPr>
          <w:sz w:val="22"/>
          <w:szCs w:val="22"/>
        </w:rPr>
        <w:t xml:space="preserve"> </w:t>
      </w:r>
      <w:r w:rsidR="00DD025A">
        <w:rPr>
          <w:sz w:val="22"/>
          <w:szCs w:val="22"/>
        </w:rPr>
        <w:t xml:space="preserve">equal to </w:t>
      </w:r>
      <w:r w:rsidR="00DD025A" w:rsidRPr="0040545E">
        <w:rPr>
          <w:sz w:val="22"/>
          <w:szCs w:val="22"/>
        </w:rPr>
        <w:t xml:space="preserve">the quotient obtained by dividing (x) the </w:t>
      </w:r>
      <w:r w:rsidR="00DD025A">
        <w:rPr>
          <w:sz w:val="22"/>
          <w:szCs w:val="22"/>
        </w:rPr>
        <w:t>Purchase Amount</w:t>
      </w:r>
      <w:r w:rsidR="00DD025A" w:rsidRPr="0040545E">
        <w:rPr>
          <w:sz w:val="22"/>
          <w:szCs w:val="22"/>
        </w:rPr>
        <w:t xml:space="preserve"> by (y) the </w:t>
      </w:r>
      <w:r w:rsidR="00DD025A">
        <w:rPr>
          <w:sz w:val="22"/>
          <w:szCs w:val="22"/>
        </w:rPr>
        <w:t>First Financing Price</w:t>
      </w:r>
      <w:r w:rsidR="005714A0" w:rsidRPr="00E00CFC">
        <w:rPr>
          <w:sz w:val="22"/>
          <w:szCs w:val="22"/>
        </w:rPr>
        <w:t xml:space="preserve">. </w:t>
      </w:r>
    </w:p>
    <w:p w14:paraId="5CBB83C3" w14:textId="77777777" w:rsidR="004169CE" w:rsidRDefault="00E750D5" w:rsidP="008A2CEC">
      <w:pPr>
        <w:widowControl w:val="0"/>
        <w:tabs>
          <w:tab w:val="left" w:pos="360"/>
        </w:tabs>
        <w:autoSpaceDE w:val="0"/>
        <w:autoSpaceDN w:val="0"/>
        <w:adjustRightInd w:val="0"/>
        <w:spacing w:before="0" w:after="240"/>
        <w:jc w:val="both"/>
        <w:rPr>
          <w:sz w:val="22"/>
          <w:szCs w:val="22"/>
        </w:rPr>
      </w:pPr>
      <w:r w:rsidRPr="00E00CFC">
        <w:rPr>
          <w:sz w:val="22"/>
          <w:szCs w:val="22"/>
        </w:rPr>
        <w:t xml:space="preserve"> </w:t>
      </w:r>
      <w:r w:rsidR="009A426E" w:rsidRPr="00E00CFC">
        <w:rPr>
          <w:sz w:val="22"/>
          <w:szCs w:val="22"/>
        </w:rPr>
        <w:t>(b)</w:t>
      </w:r>
      <w:r w:rsidR="009A426E" w:rsidRPr="00E00CFC">
        <w:rPr>
          <w:sz w:val="22"/>
          <w:szCs w:val="22"/>
        </w:rPr>
        <w:tab/>
      </w:r>
      <w:r w:rsidR="00132B42" w:rsidRPr="00E00CFC">
        <w:rPr>
          <w:b/>
          <w:sz w:val="22"/>
          <w:szCs w:val="22"/>
          <w:u w:val="single"/>
        </w:rPr>
        <w:t>Liquidity Event</w:t>
      </w:r>
      <w:r w:rsidR="004061DC" w:rsidRPr="00E00CFC">
        <w:rPr>
          <w:sz w:val="22"/>
          <w:szCs w:val="22"/>
        </w:rPr>
        <w:t xml:space="preserve">.  </w:t>
      </w:r>
    </w:p>
    <w:p w14:paraId="20BAA842" w14:textId="77777777" w:rsidR="004169CE" w:rsidRDefault="004169CE" w:rsidP="004442FD">
      <w:pPr>
        <w:widowControl w:val="0"/>
        <w:tabs>
          <w:tab w:val="left" w:pos="360"/>
        </w:tabs>
        <w:autoSpaceDE w:val="0"/>
        <w:autoSpaceDN w:val="0"/>
        <w:adjustRightInd w:val="0"/>
        <w:spacing w:before="0"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r>
      <w:r w:rsidR="00112232" w:rsidRPr="00E00CFC">
        <w:rPr>
          <w:sz w:val="22"/>
          <w:szCs w:val="22"/>
        </w:rPr>
        <w:t xml:space="preserve">If there is a Liquidity Event before </w:t>
      </w:r>
      <w:r w:rsidR="00112232" w:rsidRPr="00057DB0">
        <w:rPr>
          <w:sz w:val="22"/>
          <w:szCs w:val="22"/>
        </w:rPr>
        <w:t xml:space="preserve">the termination of </w:t>
      </w:r>
      <w:r w:rsidR="00112232" w:rsidRPr="00E00CFC">
        <w:rPr>
          <w:sz w:val="22"/>
          <w:szCs w:val="22"/>
        </w:rPr>
        <w:t>this instrument</w:t>
      </w:r>
      <w:r w:rsidR="004442FD">
        <w:rPr>
          <w:sz w:val="22"/>
          <w:szCs w:val="22"/>
        </w:rPr>
        <w:t xml:space="preserve"> and before </w:t>
      </w:r>
      <w:r w:rsidR="004442FD">
        <w:rPr>
          <w:sz w:val="22"/>
          <w:szCs w:val="22"/>
        </w:rPr>
        <w:lastRenderedPageBreak/>
        <w:t>any Equity Financing</w:t>
      </w:r>
      <w:r w:rsidR="00112232" w:rsidRPr="00E00CFC">
        <w:rPr>
          <w:sz w:val="22"/>
          <w:szCs w:val="22"/>
        </w:rPr>
        <w:t>, the Investor will</w:t>
      </w:r>
      <w:r w:rsidR="00112232" w:rsidRPr="00057DB0">
        <w:rPr>
          <w:sz w:val="22"/>
          <w:szCs w:val="22"/>
        </w:rPr>
        <w:t>, at its option, either (</w:t>
      </w:r>
      <w:proofErr w:type="spellStart"/>
      <w:r w:rsidR="00112232" w:rsidRPr="00057DB0">
        <w:rPr>
          <w:sz w:val="22"/>
          <w:szCs w:val="22"/>
        </w:rPr>
        <w:t>i</w:t>
      </w:r>
      <w:proofErr w:type="spellEnd"/>
      <w:r w:rsidR="00112232" w:rsidRPr="00057DB0">
        <w:rPr>
          <w:sz w:val="22"/>
          <w:szCs w:val="22"/>
        </w:rPr>
        <w:t>)</w:t>
      </w:r>
      <w:r w:rsidR="00112232" w:rsidRPr="00E00CFC">
        <w:rPr>
          <w:sz w:val="22"/>
          <w:szCs w:val="22"/>
        </w:rPr>
        <w:t xml:space="preserve"> receive a cash payment equal to the Purchase Amount (</w:t>
      </w:r>
      <w:r w:rsidR="00112232" w:rsidRPr="00057DB0">
        <w:rPr>
          <w:sz w:val="22"/>
          <w:szCs w:val="22"/>
        </w:rPr>
        <w:t xml:space="preserve">subject to the following paragraph) or (ii) </w:t>
      </w:r>
      <w:r w:rsidR="00112232" w:rsidRPr="00235E5B">
        <w:rPr>
          <w:sz w:val="22"/>
          <w:szCs w:val="22"/>
        </w:rPr>
        <w:t xml:space="preserve">automatically receive from the Company a number of shares of Common Stock equal to the Purchase Amount divided by </w:t>
      </w:r>
      <w:r w:rsidR="00112232">
        <w:rPr>
          <w:sz w:val="22"/>
          <w:szCs w:val="22"/>
        </w:rPr>
        <w:t xml:space="preserve">the </w:t>
      </w:r>
      <w:r w:rsidR="000A3106">
        <w:rPr>
          <w:sz w:val="22"/>
          <w:szCs w:val="22"/>
        </w:rPr>
        <w:t xml:space="preserve">Liquidity </w:t>
      </w:r>
      <w:r w:rsidR="00E750D5">
        <w:rPr>
          <w:sz w:val="22"/>
          <w:szCs w:val="22"/>
        </w:rPr>
        <w:t>Price</w:t>
      </w:r>
      <w:r w:rsidR="00112232" w:rsidRPr="00235E5B">
        <w:rPr>
          <w:sz w:val="22"/>
          <w:szCs w:val="22"/>
        </w:rPr>
        <w:t>, if the Investor fails to select the cash option</w:t>
      </w:r>
      <w:r w:rsidR="00EC489C" w:rsidRPr="00E00CFC">
        <w:rPr>
          <w:sz w:val="22"/>
          <w:szCs w:val="22"/>
        </w:rPr>
        <w:t xml:space="preserve">. </w:t>
      </w:r>
      <w:r w:rsidR="008A02B9">
        <w:rPr>
          <w:sz w:val="22"/>
          <w:szCs w:val="22"/>
        </w:rPr>
        <w:t xml:space="preserve"> </w:t>
      </w:r>
      <w:r w:rsidR="004442FD" w:rsidRPr="004442FD">
        <w:rPr>
          <w:sz w:val="22"/>
          <w:szCs w:val="22"/>
        </w:rPr>
        <w:t xml:space="preserve">In connection with </w:t>
      </w:r>
      <w:r w:rsidR="0093599E">
        <w:rPr>
          <w:sz w:val="22"/>
          <w:szCs w:val="22"/>
        </w:rPr>
        <w:t xml:space="preserve">this </w:t>
      </w:r>
      <w:r w:rsidR="004442FD" w:rsidRPr="004442FD">
        <w:rPr>
          <w:sz w:val="22"/>
          <w:szCs w:val="22"/>
        </w:rPr>
        <w:t xml:space="preserve">Section </w:t>
      </w:r>
      <w:r w:rsidR="0093599E">
        <w:rPr>
          <w:sz w:val="22"/>
          <w:szCs w:val="22"/>
        </w:rPr>
        <w:t>1</w:t>
      </w:r>
      <w:r w:rsidR="004442FD" w:rsidRPr="004442FD">
        <w:rPr>
          <w:sz w:val="22"/>
          <w:szCs w:val="22"/>
        </w:rPr>
        <w:t>(b)(</w:t>
      </w:r>
      <w:proofErr w:type="spellStart"/>
      <w:r w:rsidR="004442FD" w:rsidRPr="004442FD">
        <w:rPr>
          <w:sz w:val="22"/>
          <w:szCs w:val="22"/>
        </w:rPr>
        <w:t>i</w:t>
      </w:r>
      <w:proofErr w:type="spellEnd"/>
      <w:r w:rsidR="004442FD" w:rsidRPr="004442FD">
        <w:rPr>
          <w:sz w:val="22"/>
          <w:szCs w:val="22"/>
        </w:rPr>
        <w:t>), the Purchase Amount will be due and payable by the</w:t>
      </w:r>
      <w:r w:rsidR="004442FD">
        <w:rPr>
          <w:sz w:val="22"/>
          <w:szCs w:val="22"/>
        </w:rPr>
        <w:t xml:space="preserve"> </w:t>
      </w:r>
      <w:r w:rsidR="004442FD" w:rsidRPr="004442FD">
        <w:rPr>
          <w:sz w:val="22"/>
          <w:szCs w:val="22"/>
        </w:rPr>
        <w:t xml:space="preserve">Company to the Investor immediately prior to, or concurrent with, the consummation of the Liquidity Event. </w:t>
      </w:r>
      <w:r w:rsidR="008A02B9">
        <w:rPr>
          <w:sz w:val="22"/>
          <w:szCs w:val="22"/>
        </w:rPr>
        <w:t xml:space="preserve"> </w:t>
      </w:r>
      <w:r w:rsidR="004442FD" w:rsidRPr="004442FD">
        <w:rPr>
          <w:sz w:val="22"/>
          <w:szCs w:val="22"/>
        </w:rPr>
        <w:t>If there are not</w:t>
      </w:r>
      <w:r w:rsidR="004442FD">
        <w:rPr>
          <w:sz w:val="22"/>
          <w:szCs w:val="22"/>
        </w:rPr>
        <w:t xml:space="preserve"> </w:t>
      </w:r>
      <w:r w:rsidR="004442FD" w:rsidRPr="004442FD">
        <w:rPr>
          <w:sz w:val="22"/>
          <w:szCs w:val="22"/>
        </w:rPr>
        <w:t xml:space="preserve">enough funds to pay the Investor and holders of other </w:t>
      </w:r>
      <w:r w:rsidR="00F4239E">
        <w:rPr>
          <w:sz w:val="22"/>
          <w:szCs w:val="22"/>
        </w:rPr>
        <w:t xml:space="preserve">Crowd </w:t>
      </w:r>
      <w:r w:rsidR="004442FD" w:rsidRPr="004442FD">
        <w:rPr>
          <w:sz w:val="22"/>
          <w:szCs w:val="22"/>
        </w:rPr>
        <w:t>Safes (collectively, the “</w:t>
      </w:r>
      <w:r w:rsidR="004442FD" w:rsidRPr="004442FD">
        <w:rPr>
          <w:b/>
          <w:sz w:val="22"/>
          <w:szCs w:val="22"/>
        </w:rPr>
        <w:t>Cash-Out Investors</w:t>
      </w:r>
      <w:r w:rsidR="004442FD" w:rsidRPr="004442FD">
        <w:rPr>
          <w:sz w:val="22"/>
          <w:szCs w:val="22"/>
        </w:rPr>
        <w:t>”) in full, then all of the</w:t>
      </w:r>
      <w:r w:rsidR="004442FD">
        <w:rPr>
          <w:sz w:val="22"/>
          <w:szCs w:val="22"/>
        </w:rPr>
        <w:t xml:space="preserve"> </w:t>
      </w:r>
      <w:r w:rsidR="004442FD" w:rsidRPr="004442FD">
        <w:rPr>
          <w:sz w:val="22"/>
          <w:szCs w:val="22"/>
        </w:rPr>
        <w:t>Company’s available funds will be distributed with equal priority and pro rata among the Cash-Out Investors in proportion to</w:t>
      </w:r>
      <w:r w:rsidR="004442FD">
        <w:rPr>
          <w:sz w:val="22"/>
          <w:szCs w:val="22"/>
        </w:rPr>
        <w:t xml:space="preserve"> </w:t>
      </w:r>
      <w:r w:rsidR="004442FD" w:rsidRPr="004442FD">
        <w:rPr>
          <w:sz w:val="22"/>
          <w:szCs w:val="22"/>
        </w:rPr>
        <w:t>their Purchase Amounts.</w:t>
      </w:r>
    </w:p>
    <w:p w14:paraId="33D5AC57" w14:textId="77777777" w:rsidR="00304BD7" w:rsidRDefault="004442FD" w:rsidP="00DD2FAC">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Pr="00E00CFC">
        <w:rPr>
          <w:sz w:val="22"/>
          <w:szCs w:val="22"/>
        </w:rPr>
        <w:t xml:space="preserve">If there is a Liquidity Event </w:t>
      </w:r>
      <w:r>
        <w:rPr>
          <w:sz w:val="22"/>
          <w:szCs w:val="22"/>
        </w:rPr>
        <w:t>after one or more Equity Financing</w:t>
      </w:r>
      <w:r w:rsidR="00F4239E">
        <w:rPr>
          <w:sz w:val="22"/>
          <w:szCs w:val="22"/>
        </w:rPr>
        <w:t>s</w:t>
      </w:r>
      <w:r>
        <w:rPr>
          <w:sz w:val="22"/>
          <w:szCs w:val="22"/>
        </w:rPr>
        <w:t xml:space="preserve"> have occurred but </w:t>
      </w:r>
      <w:r w:rsidRPr="00E00CFC">
        <w:rPr>
          <w:sz w:val="22"/>
          <w:szCs w:val="22"/>
        </w:rPr>
        <w:t xml:space="preserve">before </w:t>
      </w:r>
      <w:r w:rsidRPr="00057DB0">
        <w:rPr>
          <w:sz w:val="22"/>
          <w:szCs w:val="22"/>
        </w:rPr>
        <w:t xml:space="preserve">the termination of </w:t>
      </w:r>
      <w:r w:rsidRPr="00E00CFC">
        <w:rPr>
          <w:sz w:val="22"/>
          <w:szCs w:val="22"/>
        </w:rPr>
        <w:t>this instrument, the Investor will</w:t>
      </w:r>
      <w:r w:rsidRPr="00057DB0">
        <w:rPr>
          <w:sz w:val="22"/>
          <w:szCs w:val="22"/>
        </w:rPr>
        <w:t>, at its option, either (</w:t>
      </w:r>
      <w:proofErr w:type="spellStart"/>
      <w:r w:rsidRPr="00057DB0">
        <w:rPr>
          <w:sz w:val="22"/>
          <w:szCs w:val="22"/>
        </w:rPr>
        <w:t>i</w:t>
      </w:r>
      <w:proofErr w:type="spellEnd"/>
      <w:r w:rsidRPr="00057DB0">
        <w:rPr>
          <w:sz w:val="22"/>
          <w:szCs w:val="22"/>
        </w:rPr>
        <w:t>)</w:t>
      </w:r>
      <w:r w:rsidRPr="00E00CFC">
        <w:rPr>
          <w:sz w:val="22"/>
          <w:szCs w:val="22"/>
        </w:rPr>
        <w:t xml:space="preserve"> receive a cash payment equal to the Purchase Amount (</w:t>
      </w:r>
      <w:r w:rsidR="00DD2FAC">
        <w:rPr>
          <w:sz w:val="22"/>
          <w:szCs w:val="22"/>
        </w:rPr>
        <w:t>as described in the foregoing</w:t>
      </w:r>
      <w:r w:rsidRPr="00057DB0">
        <w:rPr>
          <w:sz w:val="22"/>
          <w:szCs w:val="22"/>
        </w:rPr>
        <w:t xml:space="preserve"> paragraph) or (ii) </w:t>
      </w:r>
      <w:r w:rsidRPr="00235E5B">
        <w:rPr>
          <w:sz w:val="22"/>
          <w:szCs w:val="22"/>
        </w:rPr>
        <w:t xml:space="preserve">automatically receive from the Company a number of shares of </w:t>
      </w:r>
      <w:r>
        <w:rPr>
          <w:sz w:val="22"/>
          <w:szCs w:val="22"/>
        </w:rPr>
        <w:t>the most recent issued Preferred Stock</w:t>
      </w:r>
      <w:r w:rsidRPr="00235E5B">
        <w:rPr>
          <w:sz w:val="22"/>
          <w:szCs w:val="22"/>
        </w:rPr>
        <w:t xml:space="preserve"> equal to the Purchase Amount divided by </w:t>
      </w:r>
      <w:r w:rsidR="00DD2FAC">
        <w:rPr>
          <w:sz w:val="22"/>
          <w:szCs w:val="22"/>
        </w:rPr>
        <w:t xml:space="preserve">the </w:t>
      </w:r>
      <w:r>
        <w:rPr>
          <w:sz w:val="22"/>
          <w:szCs w:val="22"/>
        </w:rPr>
        <w:t>First Financing Price</w:t>
      </w:r>
      <w:r w:rsidRPr="00235E5B">
        <w:rPr>
          <w:sz w:val="22"/>
          <w:szCs w:val="22"/>
        </w:rPr>
        <w:t>, if the Investor fails to select the cash option</w:t>
      </w:r>
      <w:r w:rsidRPr="00E00CFC">
        <w:rPr>
          <w:sz w:val="22"/>
          <w:szCs w:val="22"/>
        </w:rPr>
        <w:t>.</w:t>
      </w:r>
      <w:r w:rsidR="00DD2FAC">
        <w:rPr>
          <w:sz w:val="22"/>
          <w:szCs w:val="22"/>
        </w:rPr>
        <w:t xml:space="preserv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 xml:space="preserve">granted in connection therewith shall have the same liquidation rights and preferences as the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issued in connection with the Company’s most recent Equity Financing.</w:t>
      </w:r>
    </w:p>
    <w:p w14:paraId="27416092" w14:textId="77777777" w:rsidR="004A3DF3" w:rsidRPr="00E00CFC" w:rsidRDefault="004A3DF3" w:rsidP="008A2CEC">
      <w:pPr>
        <w:tabs>
          <w:tab w:val="left" w:pos="360"/>
        </w:tabs>
        <w:autoSpaceDE w:val="0"/>
        <w:autoSpaceDN w:val="0"/>
        <w:adjustRightInd w:val="0"/>
        <w:jc w:val="both"/>
        <w:rPr>
          <w:sz w:val="22"/>
          <w:szCs w:val="22"/>
        </w:rPr>
      </w:pPr>
      <w:r w:rsidRPr="00E00CFC">
        <w:rPr>
          <w:sz w:val="22"/>
          <w:szCs w:val="22"/>
        </w:rPr>
        <w:t>(</w:t>
      </w:r>
      <w:r w:rsidR="00A77B79" w:rsidRPr="00E00CFC">
        <w:rPr>
          <w:sz w:val="22"/>
          <w:szCs w:val="22"/>
        </w:rPr>
        <w:t>c</w:t>
      </w:r>
      <w:r w:rsidRPr="00E00CFC">
        <w:rPr>
          <w:sz w:val="22"/>
          <w:szCs w:val="22"/>
        </w:rPr>
        <w:t>)</w:t>
      </w:r>
      <w:r w:rsidRPr="00E00CFC">
        <w:rPr>
          <w:sz w:val="22"/>
          <w:szCs w:val="22"/>
        </w:rPr>
        <w:tab/>
      </w:r>
      <w:r w:rsidR="00EE3DFE" w:rsidRPr="00E00CFC">
        <w:rPr>
          <w:b/>
          <w:sz w:val="22"/>
          <w:szCs w:val="22"/>
          <w:u w:val="single"/>
        </w:rPr>
        <w:t>Dissolution</w:t>
      </w:r>
      <w:r w:rsidRPr="00E00CFC">
        <w:rPr>
          <w:b/>
          <w:sz w:val="22"/>
          <w:szCs w:val="22"/>
          <w:u w:val="single"/>
        </w:rPr>
        <w:t xml:space="preserve"> Event</w:t>
      </w:r>
      <w:r w:rsidRPr="00E00CFC">
        <w:rPr>
          <w:sz w:val="22"/>
          <w:szCs w:val="22"/>
        </w:rPr>
        <w:t xml:space="preserve">. </w:t>
      </w:r>
      <w:r w:rsidR="00C04B66">
        <w:rPr>
          <w:sz w:val="22"/>
          <w:szCs w:val="22"/>
        </w:rPr>
        <w:t xml:space="preserve"> </w:t>
      </w:r>
      <w:r w:rsidR="000A198E" w:rsidRPr="00E00CFC">
        <w:rPr>
          <w:sz w:val="22"/>
          <w:szCs w:val="22"/>
        </w:rPr>
        <w:t>If there is a Dissolution Event before this instrument terminates</w:t>
      </w:r>
      <w:r w:rsidR="00481BF1" w:rsidRPr="00E00CFC">
        <w:rPr>
          <w:sz w:val="22"/>
          <w:szCs w:val="22"/>
        </w:rPr>
        <w:t xml:space="preserve"> in accordance with S</w:t>
      </w:r>
      <w:r w:rsidR="001C731B" w:rsidRPr="00E00CFC">
        <w:rPr>
          <w:sz w:val="22"/>
          <w:szCs w:val="22"/>
        </w:rPr>
        <w:t>ections 1(a) or 1</w:t>
      </w:r>
      <w:r w:rsidR="00481BF1" w:rsidRPr="00E00CFC">
        <w:rPr>
          <w:sz w:val="22"/>
          <w:szCs w:val="22"/>
        </w:rPr>
        <w:t>(b)</w:t>
      </w:r>
      <w:r w:rsidR="000A198E" w:rsidRPr="00E00CFC">
        <w:rPr>
          <w:sz w:val="22"/>
          <w:szCs w:val="22"/>
        </w:rPr>
        <w:t xml:space="preserve">, </w:t>
      </w:r>
      <w:r w:rsidR="00B744A3" w:rsidRPr="00E00CFC">
        <w:rPr>
          <w:sz w:val="22"/>
          <w:szCs w:val="22"/>
        </w:rPr>
        <w:t>subject to the preferenc</w:t>
      </w:r>
      <w:r w:rsidR="00695239">
        <w:rPr>
          <w:sz w:val="22"/>
          <w:szCs w:val="22"/>
        </w:rPr>
        <w:t>es applicable to any series of Preferred S</w:t>
      </w:r>
      <w:r w:rsidR="00B744A3" w:rsidRPr="00E00CFC">
        <w:rPr>
          <w:sz w:val="22"/>
          <w:szCs w:val="22"/>
        </w:rPr>
        <w:t xml:space="preserve">tock, </w:t>
      </w:r>
      <w:r w:rsidR="000A198E" w:rsidRPr="00E00CFC">
        <w:rPr>
          <w:sz w:val="22"/>
          <w:szCs w:val="22"/>
        </w:rPr>
        <w:t xml:space="preserve">the Company </w:t>
      </w:r>
      <w:r w:rsidR="00481BF1" w:rsidRPr="00E00CFC">
        <w:rPr>
          <w:sz w:val="22"/>
          <w:szCs w:val="22"/>
        </w:rPr>
        <w:t>will distribute its entire assets legally available for distribution with equal priority among the Investor</w:t>
      </w:r>
      <w:r w:rsidR="00C6023C">
        <w:rPr>
          <w:sz w:val="22"/>
          <w:szCs w:val="22"/>
        </w:rPr>
        <w:t>s</w:t>
      </w:r>
      <w:r w:rsidR="00481BF1" w:rsidRPr="00E00CFC">
        <w:rPr>
          <w:sz w:val="22"/>
          <w:szCs w:val="22"/>
        </w:rPr>
        <w:t xml:space="preserve">, all holders of other </w:t>
      </w:r>
      <w:r w:rsidR="00F4239E">
        <w:rPr>
          <w:sz w:val="22"/>
          <w:szCs w:val="22"/>
        </w:rPr>
        <w:t xml:space="preserve">Crowd </w:t>
      </w:r>
      <w:r w:rsidR="00481BF1" w:rsidRPr="00E00CFC">
        <w:rPr>
          <w:sz w:val="22"/>
          <w:szCs w:val="22"/>
        </w:rPr>
        <w:t>Safes (</w:t>
      </w:r>
      <w:r w:rsidR="0019338C" w:rsidRPr="00E00CFC">
        <w:rPr>
          <w:sz w:val="22"/>
          <w:szCs w:val="22"/>
        </w:rPr>
        <w:t xml:space="preserve">on an as converted basis based on </w:t>
      </w:r>
      <w:r w:rsidR="00C6023C">
        <w:rPr>
          <w:sz w:val="22"/>
          <w:szCs w:val="22"/>
        </w:rPr>
        <w:t>a valuation</w:t>
      </w:r>
      <w:r w:rsidR="0019338C">
        <w:rPr>
          <w:sz w:val="22"/>
          <w:szCs w:val="22"/>
        </w:rPr>
        <w:t xml:space="preserve"> of Common Stock</w:t>
      </w:r>
      <w:r w:rsidR="00C6023C">
        <w:rPr>
          <w:sz w:val="22"/>
          <w:szCs w:val="22"/>
        </w:rPr>
        <w:t xml:space="preserve"> as determined in good faith by the Company’s </w:t>
      </w:r>
      <w:r w:rsidR="00BD2973">
        <w:rPr>
          <w:sz w:val="22"/>
          <w:szCs w:val="22"/>
        </w:rPr>
        <w:t>b</w:t>
      </w:r>
      <w:r w:rsidR="00C6023C">
        <w:rPr>
          <w:sz w:val="22"/>
          <w:szCs w:val="22"/>
        </w:rPr>
        <w:t xml:space="preserve">oard of </w:t>
      </w:r>
      <w:r w:rsidR="00BD2973">
        <w:rPr>
          <w:sz w:val="22"/>
          <w:szCs w:val="22"/>
        </w:rPr>
        <w:t>d</w:t>
      </w:r>
      <w:r w:rsidR="00C6023C">
        <w:rPr>
          <w:sz w:val="22"/>
          <w:szCs w:val="22"/>
        </w:rPr>
        <w:t>irectors</w:t>
      </w:r>
      <w:r w:rsidR="0019338C">
        <w:rPr>
          <w:sz w:val="22"/>
          <w:szCs w:val="22"/>
        </w:rPr>
        <w:t xml:space="preserve"> a</w:t>
      </w:r>
      <w:r w:rsidR="00C6023C">
        <w:rPr>
          <w:sz w:val="22"/>
          <w:szCs w:val="22"/>
        </w:rPr>
        <w:t>t the time of Dissolution Event</w:t>
      </w:r>
      <w:r w:rsidR="00481BF1" w:rsidRPr="00E00CFC">
        <w:rPr>
          <w:sz w:val="22"/>
          <w:szCs w:val="22"/>
        </w:rPr>
        <w:t xml:space="preserve">) and all holders of Common Stock.   </w:t>
      </w:r>
    </w:p>
    <w:p w14:paraId="51CDDBBE" w14:textId="21EEB120" w:rsidR="00817577" w:rsidRPr="00E00CFC" w:rsidRDefault="000070E5" w:rsidP="00A3764A">
      <w:pPr>
        <w:tabs>
          <w:tab w:val="left" w:pos="360"/>
        </w:tabs>
        <w:autoSpaceDE w:val="0"/>
        <w:autoSpaceDN w:val="0"/>
        <w:adjustRightInd w:val="0"/>
        <w:spacing w:after="240"/>
        <w:jc w:val="both"/>
        <w:rPr>
          <w:sz w:val="22"/>
          <w:szCs w:val="22"/>
        </w:rPr>
      </w:pPr>
      <w:r w:rsidRPr="00E00CFC">
        <w:rPr>
          <w:sz w:val="22"/>
          <w:szCs w:val="22"/>
        </w:rPr>
        <w:t>(d)</w:t>
      </w:r>
      <w:r w:rsidRPr="00E00CFC">
        <w:rPr>
          <w:sz w:val="22"/>
          <w:szCs w:val="22"/>
        </w:rPr>
        <w:tab/>
      </w:r>
      <w:r w:rsidRPr="00E00CFC">
        <w:rPr>
          <w:b/>
          <w:sz w:val="22"/>
          <w:szCs w:val="22"/>
          <w:u w:val="single"/>
        </w:rPr>
        <w:t>Termination</w:t>
      </w:r>
      <w:r w:rsidRPr="00E00CFC">
        <w:rPr>
          <w:sz w:val="22"/>
          <w:szCs w:val="22"/>
        </w:rPr>
        <w:t xml:space="preserve">.  This instrument will terminate (without relieving the Company of any obligations arising from a prior breach of or non-compliance with this instrument) upon </w:t>
      </w:r>
      <w:r w:rsidR="000915B3">
        <w:rPr>
          <w:sz w:val="22"/>
          <w:szCs w:val="22"/>
        </w:rPr>
        <w:t>the earlier to occur:</w:t>
      </w:r>
      <w:r w:rsidRPr="00E00CFC">
        <w:rPr>
          <w:sz w:val="22"/>
          <w:szCs w:val="22"/>
        </w:rPr>
        <w:t xml:space="preserve"> (</w:t>
      </w:r>
      <w:proofErr w:type="spellStart"/>
      <w:r w:rsidRPr="00E00CFC">
        <w:rPr>
          <w:sz w:val="22"/>
          <w:szCs w:val="22"/>
        </w:rPr>
        <w:t>i</w:t>
      </w:r>
      <w:proofErr w:type="spellEnd"/>
      <w:r w:rsidRPr="00E00CFC">
        <w:rPr>
          <w:sz w:val="22"/>
          <w:szCs w:val="22"/>
        </w:rPr>
        <w:t xml:space="preserve">) the issuance of </w:t>
      </w:r>
      <w:r w:rsidR="001D722C">
        <w:rPr>
          <w:sz w:val="22"/>
          <w:szCs w:val="22"/>
        </w:rPr>
        <w:t xml:space="preserve">shares in the </w:t>
      </w:r>
      <w:r w:rsidR="00052709" w:rsidRPr="00E00CFC">
        <w:rPr>
          <w:sz w:val="22"/>
          <w:szCs w:val="22"/>
        </w:rPr>
        <w:t xml:space="preserve">CF </w:t>
      </w:r>
      <w:r w:rsidR="001D722C">
        <w:rPr>
          <w:sz w:val="22"/>
          <w:szCs w:val="22"/>
        </w:rPr>
        <w:t>Shadow Series</w:t>
      </w:r>
      <w:r w:rsidR="00F4239E">
        <w:rPr>
          <w:sz w:val="22"/>
          <w:szCs w:val="22"/>
        </w:rPr>
        <w:t xml:space="preserve"> </w:t>
      </w:r>
      <w:r w:rsidRPr="00E00CFC">
        <w:rPr>
          <w:sz w:val="22"/>
          <w:szCs w:val="22"/>
        </w:rPr>
        <w:t xml:space="preserve">to the Investor pursuant to Section 1(a); or (ii) the payment, or setting aside for payment, of amounts due </w:t>
      </w:r>
      <w:r w:rsidR="00052709" w:rsidRPr="00E00CFC">
        <w:rPr>
          <w:sz w:val="22"/>
          <w:szCs w:val="22"/>
        </w:rPr>
        <w:t xml:space="preserve">to </w:t>
      </w:r>
      <w:r w:rsidRPr="00E00CFC">
        <w:rPr>
          <w:sz w:val="22"/>
          <w:szCs w:val="22"/>
        </w:rPr>
        <w:t>the Inve</w:t>
      </w:r>
      <w:r w:rsidR="008D1D6A" w:rsidRPr="00E00CFC">
        <w:rPr>
          <w:sz w:val="22"/>
          <w:szCs w:val="22"/>
        </w:rPr>
        <w:t>stor pursuant to Section</w:t>
      </w:r>
      <w:r w:rsidR="0093599E">
        <w:rPr>
          <w:sz w:val="22"/>
          <w:szCs w:val="22"/>
        </w:rPr>
        <w:t>s</w:t>
      </w:r>
      <w:r w:rsidR="008D1D6A" w:rsidRPr="00E00CFC">
        <w:rPr>
          <w:sz w:val="22"/>
          <w:szCs w:val="22"/>
        </w:rPr>
        <w:t xml:space="preserve"> 1(b)</w:t>
      </w:r>
      <w:r w:rsidRPr="00E00CFC">
        <w:rPr>
          <w:sz w:val="22"/>
          <w:szCs w:val="22"/>
        </w:rPr>
        <w:t xml:space="preserve"> or 1(c).</w:t>
      </w:r>
    </w:p>
    <w:p w14:paraId="34C6B74E" w14:textId="77BF3758" w:rsidR="00173695" w:rsidRPr="00A3764A" w:rsidRDefault="00F4239E" w:rsidP="00A3764A">
      <w:pPr>
        <w:tabs>
          <w:tab w:val="left" w:pos="360"/>
        </w:tabs>
        <w:autoSpaceDE w:val="0"/>
        <w:autoSpaceDN w:val="0"/>
        <w:adjustRightInd w:val="0"/>
        <w:spacing w:before="0" w:after="240"/>
        <w:ind w:firstLine="0"/>
        <w:jc w:val="both"/>
        <w:outlineLvl w:val="0"/>
        <w:rPr>
          <w:b/>
          <w:i/>
          <w:sz w:val="22"/>
          <w:szCs w:val="22"/>
        </w:rPr>
      </w:pPr>
      <w:r>
        <w:rPr>
          <w:b/>
          <w:sz w:val="22"/>
          <w:szCs w:val="22"/>
        </w:rPr>
        <w:t>2</w:t>
      </w:r>
      <w:r w:rsidR="00817577" w:rsidRPr="005714A0">
        <w:rPr>
          <w:b/>
          <w:sz w:val="22"/>
          <w:szCs w:val="22"/>
        </w:rPr>
        <w:t>.</w:t>
      </w:r>
      <w:r w:rsidR="008A2CEC" w:rsidRPr="003C435C">
        <w:rPr>
          <w:b/>
          <w:sz w:val="22"/>
          <w:szCs w:val="22"/>
        </w:rPr>
        <w:t xml:space="preserve"> </w:t>
      </w:r>
      <w:r w:rsidR="008A2CEC" w:rsidRPr="00E00CFC">
        <w:rPr>
          <w:b/>
          <w:i/>
          <w:sz w:val="22"/>
          <w:szCs w:val="22"/>
        </w:rPr>
        <w:t xml:space="preserve"> </w:t>
      </w:r>
      <w:r w:rsidR="00817577" w:rsidRPr="00E00CFC">
        <w:rPr>
          <w:b/>
          <w:i/>
          <w:sz w:val="22"/>
          <w:szCs w:val="22"/>
        </w:rPr>
        <w:t>Definitio</w:t>
      </w:r>
      <w:r w:rsidR="00846D58" w:rsidRPr="00E00CFC">
        <w:rPr>
          <w:b/>
          <w:i/>
          <w:sz w:val="22"/>
          <w:szCs w:val="22"/>
        </w:rPr>
        <w:t>n</w:t>
      </w:r>
      <w:r w:rsidR="00785568" w:rsidRPr="00E00CFC">
        <w:rPr>
          <w:b/>
          <w:i/>
          <w:sz w:val="22"/>
          <w:szCs w:val="22"/>
        </w:rPr>
        <w:t>s</w:t>
      </w:r>
    </w:p>
    <w:p w14:paraId="4672F524" w14:textId="77777777" w:rsidR="00813D25" w:rsidRDefault="00813D25" w:rsidP="000313E8">
      <w:pPr>
        <w:widowControl w:val="0"/>
        <w:tabs>
          <w:tab w:val="left" w:pos="360"/>
        </w:tabs>
        <w:autoSpaceDE w:val="0"/>
        <w:autoSpaceDN w:val="0"/>
        <w:adjustRightInd w:val="0"/>
        <w:spacing w:before="0" w:after="240"/>
        <w:jc w:val="both"/>
        <w:rPr>
          <w:sz w:val="22"/>
          <w:szCs w:val="22"/>
        </w:rPr>
      </w:pPr>
      <w:r>
        <w:rPr>
          <w:sz w:val="22"/>
          <w:szCs w:val="22"/>
        </w:rPr>
        <w:t>“</w:t>
      </w:r>
      <w:r w:rsidRPr="00813D25">
        <w:rPr>
          <w:b/>
          <w:bCs/>
          <w:sz w:val="22"/>
          <w:szCs w:val="22"/>
        </w:rPr>
        <w:t>Capital Stock</w:t>
      </w:r>
      <w:r>
        <w:rPr>
          <w:sz w:val="22"/>
          <w:szCs w:val="22"/>
        </w:rPr>
        <w:t>”</w:t>
      </w:r>
      <w:r w:rsidRPr="00813D25">
        <w:rPr>
          <w:sz w:val="22"/>
          <w:szCs w:val="22"/>
        </w:rPr>
        <w:t xml:space="preserve"> means the capital stock of the Company, including, without limitation, </w:t>
      </w:r>
      <w:r w:rsidRPr="002964BB">
        <w:rPr>
          <w:bCs/>
          <w:sz w:val="22"/>
          <w:szCs w:val="22"/>
        </w:rPr>
        <w:t>Common Stock</w:t>
      </w:r>
      <w:r w:rsidRPr="002964BB">
        <w:rPr>
          <w:sz w:val="22"/>
          <w:szCs w:val="22"/>
        </w:rPr>
        <w:t xml:space="preserve"> and </w:t>
      </w:r>
      <w:r w:rsidRPr="002964BB">
        <w:rPr>
          <w:bCs/>
          <w:sz w:val="22"/>
          <w:szCs w:val="22"/>
        </w:rPr>
        <w:t>Preferred Stock</w:t>
      </w:r>
      <w:r w:rsidRPr="002964BB">
        <w:rPr>
          <w:sz w:val="22"/>
          <w:szCs w:val="22"/>
        </w:rPr>
        <w:t>.</w:t>
      </w:r>
    </w:p>
    <w:p w14:paraId="43333CB2" w14:textId="77777777" w:rsidR="000313E8" w:rsidRPr="00E00CFC" w:rsidRDefault="00F4239E" w:rsidP="000313E8">
      <w:pPr>
        <w:widowControl w:val="0"/>
        <w:tabs>
          <w:tab w:val="left" w:pos="360"/>
        </w:tabs>
        <w:autoSpaceDE w:val="0"/>
        <w:autoSpaceDN w:val="0"/>
        <w:adjustRightInd w:val="0"/>
        <w:spacing w:before="0" w:after="240"/>
        <w:jc w:val="both"/>
        <w:rPr>
          <w:sz w:val="22"/>
          <w:szCs w:val="22"/>
        </w:rPr>
      </w:pPr>
      <w:r w:rsidRPr="003C435C">
        <w:rPr>
          <w:sz w:val="22"/>
          <w:szCs w:val="22"/>
        </w:rPr>
        <w:t>“</w:t>
      </w:r>
      <w:r w:rsidR="000313E8" w:rsidRPr="00615A3B">
        <w:rPr>
          <w:b/>
          <w:sz w:val="22"/>
          <w:szCs w:val="22"/>
        </w:rPr>
        <w:t xml:space="preserve">CF </w:t>
      </w:r>
      <w:r w:rsidR="000313E8">
        <w:rPr>
          <w:b/>
          <w:sz w:val="22"/>
          <w:szCs w:val="22"/>
        </w:rPr>
        <w:t>Shadow Series</w:t>
      </w:r>
      <w:r w:rsidR="000313E8" w:rsidRPr="00E00CFC">
        <w:rPr>
          <w:sz w:val="22"/>
          <w:szCs w:val="22"/>
        </w:rPr>
        <w:t xml:space="preserve">” </w:t>
      </w:r>
      <w:r w:rsidR="000313E8" w:rsidRPr="00615A3B">
        <w:rPr>
          <w:sz w:val="22"/>
          <w:szCs w:val="22"/>
        </w:rPr>
        <w:t xml:space="preserve">shall mean a series of Preferred Stock that is identical in all respects to the shares of Preferred Stock issued in the </w:t>
      </w:r>
      <w:r w:rsidR="000313E8">
        <w:rPr>
          <w:sz w:val="22"/>
          <w:szCs w:val="22"/>
        </w:rPr>
        <w:t>relevant</w:t>
      </w:r>
      <w:r w:rsidR="000313E8" w:rsidRPr="00615A3B">
        <w:rPr>
          <w:sz w:val="22"/>
          <w:szCs w:val="22"/>
        </w:rPr>
        <w:t xml:space="preserve"> Equity Financing (</w:t>
      </w:r>
      <w:r w:rsidR="000313E8" w:rsidRPr="000D1359">
        <w:rPr>
          <w:sz w:val="22"/>
        </w:rPr>
        <w:t>e.g</w:t>
      </w:r>
      <w:r w:rsidR="000313E8" w:rsidRPr="00615A3B">
        <w:rPr>
          <w:i/>
          <w:sz w:val="22"/>
          <w:szCs w:val="22"/>
        </w:rPr>
        <w:t>.</w:t>
      </w:r>
      <w:r w:rsidR="000313E8" w:rsidRPr="00615A3B">
        <w:rPr>
          <w:sz w:val="22"/>
          <w:szCs w:val="22"/>
        </w:rPr>
        <w:t xml:space="preserve">, if the Company </w:t>
      </w:r>
      <w:proofErr w:type="gramStart"/>
      <w:r w:rsidR="000313E8" w:rsidRPr="00615A3B">
        <w:rPr>
          <w:sz w:val="22"/>
          <w:szCs w:val="22"/>
        </w:rPr>
        <w:t>sells</w:t>
      </w:r>
      <w:proofErr w:type="gramEnd"/>
      <w:r w:rsidR="000313E8" w:rsidRPr="00615A3B">
        <w:rPr>
          <w:sz w:val="22"/>
          <w:szCs w:val="22"/>
        </w:rPr>
        <w:t xml:space="preserve"> S</w:t>
      </w:r>
      <w:r w:rsidR="000313E8">
        <w:rPr>
          <w:sz w:val="22"/>
          <w:szCs w:val="22"/>
        </w:rPr>
        <w:t>eries A Preferred Stock in an</w:t>
      </w:r>
      <w:r w:rsidR="000313E8" w:rsidRPr="00615A3B">
        <w:rPr>
          <w:sz w:val="22"/>
          <w:szCs w:val="22"/>
        </w:rPr>
        <w:t xml:space="preserve"> Equity Financing, the S</w:t>
      </w:r>
      <w:r w:rsidR="000313E8">
        <w:rPr>
          <w:sz w:val="22"/>
          <w:szCs w:val="22"/>
        </w:rPr>
        <w:t>hadow Series would be Series A-CF</w:t>
      </w:r>
      <w:r w:rsidR="000313E8" w:rsidRPr="00615A3B">
        <w:rPr>
          <w:sz w:val="22"/>
          <w:szCs w:val="22"/>
        </w:rPr>
        <w:t xml:space="preserve"> Preferred Stock), except that</w:t>
      </w:r>
      <w:r w:rsidR="000313E8">
        <w:rPr>
          <w:sz w:val="22"/>
          <w:szCs w:val="22"/>
        </w:rPr>
        <w:t xml:space="preserve">: </w:t>
      </w:r>
      <w:r w:rsidR="000313E8" w:rsidRPr="00E00CFC">
        <w:rPr>
          <w:sz w:val="22"/>
          <w:szCs w:val="22"/>
        </w:rPr>
        <w:t xml:space="preserve"> </w:t>
      </w:r>
    </w:p>
    <w:p w14:paraId="1FAC519B" w14:textId="77777777" w:rsidR="000313E8" w:rsidRPr="00E00CFC" w:rsidRDefault="000313E8" w:rsidP="000313E8">
      <w:pPr>
        <w:widowControl w:val="0"/>
        <w:tabs>
          <w:tab w:val="left" w:pos="1080"/>
        </w:tabs>
        <w:autoSpaceDE w:val="0"/>
        <w:autoSpaceDN w:val="0"/>
        <w:adjustRightInd w:val="0"/>
        <w:spacing w:before="0" w:after="240"/>
        <w:ind w:left="1440" w:firstLine="0"/>
        <w:jc w:val="both"/>
        <w:rPr>
          <w:color w:val="000000"/>
          <w:sz w:val="22"/>
          <w:szCs w:val="22"/>
          <w:shd w:val="clear" w:color="auto" w:fill="FFFFFF"/>
        </w:rPr>
      </w:pPr>
      <w:r>
        <w:rPr>
          <w:sz w:val="22"/>
          <w:szCs w:val="22"/>
        </w:rPr>
        <w:t>(</w:t>
      </w:r>
      <w:proofErr w:type="spellStart"/>
      <w:r>
        <w:rPr>
          <w:sz w:val="22"/>
          <w:szCs w:val="22"/>
        </w:rPr>
        <w:t>i</w:t>
      </w:r>
      <w:proofErr w:type="spellEnd"/>
      <w:r w:rsidRPr="00E00CFC">
        <w:rPr>
          <w:sz w:val="22"/>
          <w:szCs w:val="22"/>
        </w:rPr>
        <w:t>)</w:t>
      </w:r>
      <w:r w:rsidRPr="00E00CFC">
        <w:rPr>
          <w:sz w:val="22"/>
          <w:szCs w:val="22"/>
        </w:rPr>
        <w:tab/>
      </w:r>
      <w:r>
        <w:rPr>
          <w:sz w:val="22"/>
          <w:szCs w:val="22"/>
        </w:rPr>
        <w:t>CF Shadow Series shareholders shall</w:t>
      </w:r>
      <w:r w:rsidRPr="00E00CFC">
        <w:rPr>
          <w:sz w:val="22"/>
          <w:szCs w:val="22"/>
        </w:rPr>
        <w:t xml:space="preserve"> have no voting rights </w:t>
      </w:r>
      <w:r w:rsidRPr="00E00CFC">
        <w:rPr>
          <w:color w:val="000000"/>
          <w:sz w:val="22"/>
          <w:szCs w:val="22"/>
          <w:shd w:val="clear" w:color="auto" w:fill="FFFFFF"/>
        </w:rPr>
        <w:t xml:space="preserve">and shall not be entitled to vote on any matter that is submitted to a vote or for the consent of the stockholders of the Company; </w:t>
      </w:r>
    </w:p>
    <w:p w14:paraId="30C37217" w14:textId="77777777" w:rsidR="000313E8" w:rsidRPr="00E00CFC" w:rsidRDefault="000313E8" w:rsidP="000313E8">
      <w:pPr>
        <w:widowControl w:val="0"/>
        <w:tabs>
          <w:tab w:val="left" w:pos="1080"/>
        </w:tabs>
        <w:autoSpaceDE w:val="0"/>
        <w:autoSpaceDN w:val="0"/>
        <w:adjustRightInd w:val="0"/>
        <w:spacing w:before="0" w:after="240"/>
        <w:ind w:left="1440" w:hanging="360"/>
        <w:jc w:val="both"/>
        <w:rPr>
          <w:sz w:val="22"/>
          <w:szCs w:val="22"/>
        </w:rPr>
      </w:pPr>
      <w:r>
        <w:rPr>
          <w:color w:val="000000"/>
          <w:sz w:val="22"/>
          <w:szCs w:val="22"/>
          <w:shd w:val="clear" w:color="auto" w:fill="FFFFFF"/>
        </w:rPr>
        <w:tab/>
        <w:t>(i</w:t>
      </w:r>
      <w:r w:rsidRPr="00E00CFC">
        <w:rPr>
          <w:color w:val="000000"/>
          <w:sz w:val="22"/>
          <w:szCs w:val="22"/>
          <w:shd w:val="clear" w:color="auto" w:fill="FFFFFF"/>
        </w:rPr>
        <w:t>i)</w:t>
      </w:r>
      <w:r w:rsidRPr="00E00CFC">
        <w:rPr>
          <w:color w:val="000000"/>
          <w:sz w:val="22"/>
          <w:szCs w:val="22"/>
          <w:shd w:val="clear" w:color="auto" w:fill="FFFFFF"/>
        </w:rPr>
        <w:tab/>
      </w:r>
      <w:r>
        <w:rPr>
          <w:color w:val="000000"/>
          <w:sz w:val="22"/>
          <w:szCs w:val="22"/>
          <w:shd w:val="clear" w:color="auto" w:fill="FFFFFF"/>
        </w:rPr>
        <w:t>On any matter to which</w:t>
      </w:r>
      <w:r w:rsidRPr="00E00CFC">
        <w:rPr>
          <w:color w:val="000000"/>
          <w:sz w:val="22"/>
          <w:szCs w:val="22"/>
          <w:shd w:val="clear" w:color="auto" w:fill="FFFFFF"/>
        </w:rPr>
        <w:t xml:space="preserve"> </w:t>
      </w:r>
      <w:r>
        <w:rPr>
          <w:sz w:val="22"/>
          <w:szCs w:val="22"/>
        </w:rPr>
        <w:t xml:space="preserve">CF Shadow Series shareholders </w:t>
      </w:r>
      <w:r w:rsidRPr="00E00CFC">
        <w:rPr>
          <w:color w:val="000000"/>
          <w:sz w:val="22"/>
          <w:szCs w:val="22"/>
          <w:shd w:val="clear" w:color="auto" w:fill="FFFFFF"/>
        </w:rPr>
        <w:t xml:space="preserve">are entitled to vote </w:t>
      </w:r>
      <w:r>
        <w:rPr>
          <w:color w:val="000000"/>
          <w:sz w:val="22"/>
          <w:szCs w:val="22"/>
          <w:shd w:val="clear" w:color="auto" w:fill="FFFFFF"/>
        </w:rPr>
        <w:t>by law</w:t>
      </w:r>
      <w:r w:rsidRPr="00E00CFC">
        <w:rPr>
          <w:color w:val="000000"/>
          <w:sz w:val="22"/>
          <w:szCs w:val="22"/>
          <w:shd w:val="clear" w:color="auto" w:fill="FFFFFF"/>
        </w:rPr>
        <w:t xml:space="preserve">, </w:t>
      </w:r>
      <w:r>
        <w:rPr>
          <w:sz w:val="22"/>
          <w:szCs w:val="22"/>
        </w:rPr>
        <w:t>CF Shadow Series shareholders shall</w:t>
      </w:r>
      <w:r w:rsidRPr="00E00CFC">
        <w:rPr>
          <w:color w:val="000000"/>
          <w:sz w:val="22"/>
          <w:szCs w:val="22"/>
          <w:shd w:val="clear" w:color="auto" w:fill="FFFFFF"/>
        </w:rPr>
        <w:t xml:space="preserve"> </w:t>
      </w:r>
      <w:r>
        <w:rPr>
          <w:color w:val="000000"/>
          <w:sz w:val="22"/>
          <w:szCs w:val="22"/>
          <w:shd w:val="clear" w:color="auto" w:fill="FFFFFF"/>
        </w:rPr>
        <w:t xml:space="preserve">automatically vote in line with the majority of the </w:t>
      </w:r>
      <w:r w:rsidR="005E27ED">
        <w:rPr>
          <w:color w:val="000000"/>
          <w:sz w:val="22"/>
          <w:szCs w:val="22"/>
          <w:shd w:val="clear" w:color="auto" w:fill="FFFFFF"/>
        </w:rPr>
        <w:t xml:space="preserve">holders of </w:t>
      </w:r>
      <w:r>
        <w:rPr>
          <w:color w:val="000000"/>
          <w:sz w:val="22"/>
          <w:szCs w:val="22"/>
          <w:shd w:val="clear" w:color="auto" w:fill="FFFFFF"/>
        </w:rPr>
        <w:t>Preferred Stock</w:t>
      </w:r>
      <w:r w:rsidRPr="00E00CFC">
        <w:rPr>
          <w:sz w:val="22"/>
          <w:szCs w:val="22"/>
        </w:rPr>
        <w:t>; and</w:t>
      </w:r>
    </w:p>
    <w:p w14:paraId="79BEDDAF" w14:textId="218F474F" w:rsidR="000313E8" w:rsidRDefault="000313E8" w:rsidP="00A3764A">
      <w:pPr>
        <w:tabs>
          <w:tab w:val="left" w:pos="360"/>
        </w:tabs>
        <w:autoSpaceDE w:val="0"/>
        <w:autoSpaceDN w:val="0"/>
        <w:adjustRightInd w:val="0"/>
        <w:spacing w:after="240"/>
        <w:ind w:left="1440" w:hanging="720"/>
        <w:jc w:val="both"/>
        <w:rPr>
          <w:sz w:val="22"/>
          <w:szCs w:val="22"/>
        </w:rPr>
      </w:pPr>
      <w:r>
        <w:rPr>
          <w:color w:val="000000"/>
          <w:sz w:val="22"/>
          <w:szCs w:val="22"/>
          <w:shd w:val="clear" w:color="auto" w:fill="FFFFFF"/>
        </w:rPr>
        <w:tab/>
        <w:t>(iii</w:t>
      </w:r>
      <w:r w:rsidRPr="00E00CFC">
        <w:rPr>
          <w:color w:val="000000"/>
          <w:sz w:val="22"/>
          <w:szCs w:val="22"/>
          <w:shd w:val="clear" w:color="auto" w:fill="FFFFFF"/>
        </w:rPr>
        <w:t>)</w:t>
      </w:r>
      <w:r w:rsidRPr="00E00CFC">
        <w:rPr>
          <w:color w:val="000000"/>
          <w:sz w:val="22"/>
          <w:szCs w:val="22"/>
          <w:shd w:val="clear" w:color="auto" w:fill="FFFFFF"/>
        </w:rPr>
        <w:tab/>
      </w:r>
      <w:r>
        <w:rPr>
          <w:sz w:val="22"/>
          <w:szCs w:val="22"/>
        </w:rPr>
        <w:t xml:space="preserve">CF Shadow Series shareholders </w:t>
      </w:r>
      <w:r w:rsidRPr="00E00CFC">
        <w:rPr>
          <w:color w:val="000000"/>
          <w:sz w:val="22"/>
          <w:szCs w:val="22"/>
          <w:shd w:val="clear" w:color="auto" w:fill="FFFFFF"/>
        </w:rPr>
        <w:t>have no i</w:t>
      </w:r>
      <w:r>
        <w:rPr>
          <w:color w:val="000000"/>
          <w:sz w:val="22"/>
          <w:szCs w:val="22"/>
          <w:shd w:val="clear" w:color="auto" w:fill="FFFFFF"/>
        </w:rPr>
        <w:t>nformation or inspection rights, except with respect to such rights deemed not waivable by laws.</w:t>
      </w:r>
    </w:p>
    <w:p w14:paraId="2C5DEFA1" w14:textId="0759F342" w:rsidR="009702E3" w:rsidRDefault="00817577"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Change of Control</w:t>
      </w:r>
      <w:r w:rsidRPr="00E00CFC">
        <w:rPr>
          <w:sz w:val="22"/>
          <w:szCs w:val="22"/>
        </w:rPr>
        <w:t>” means (</w:t>
      </w:r>
      <w:proofErr w:type="spellStart"/>
      <w:r w:rsidRPr="00E00CFC">
        <w:rPr>
          <w:sz w:val="22"/>
          <w:szCs w:val="22"/>
        </w:rPr>
        <w:t>i</w:t>
      </w:r>
      <w:proofErr w:type="spellEnd"/>
      <w:r w:rsidRPr="00E00CFC">
        <w:rPr>
          <w:sz w:val="22"/>
          <w:szCs w:val="22"/>
        </w:rPr>
        <w:t>) a transaction or series of related transactions in which any “person” or “group” (within the meaning of Section</w:t>
      </w:r>
      <w:r w:rsidR="00C313B8">
        <w:rPr>
          <w:sz w:val="22"/>
          <w:szCs w:val="22"/>
        </w:rPr>
        <w:t>s</w:t>
      </w:r>
      <w:r w:rsidRPr="00E00CF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E00CFC">
        <w:rPr>
          <w:sz w:val="22"/>
          <w:szCs w:val="22"/>
        </w:rPr>
        <w:t xml:space="preserve"> Company’s board of d</w:t>
      </w:r>
      <w:r w:rsidRPr="00E00CFC">
        <w:rPr>
          <w:sz w:val="22"/>
          <w:szCs w:val="22"/>
        </w:rPr>
        <w:t xml:space="preserve">irectors, (ii) any reorganization, merger or consolidation of the Company, other than a transaction or series of related transactions in which the </w:t>
      </w:r>
      <w:r w:rsidR="00401B73" w:rsidRPr="00E00CFC">
        <w:rPr>
          <w:sz w:val="22"/>
          <w:szCs w:val="22"/>
        </w:rPr>
        <w:t>holders</w:t>
      </w:r>
      <w:r w:rsidRPr="00E00CF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E00CFC">
        <w:rPr>
          <w:sz w:val="22"/>
          <w:szCs w:val="22"/>
        </w:rPr>
        <w:tab/>
      </w:r>
    </w:p>
    <w:p w14:paraId="73930FCC" w14:textId="7CBAD8D5" w:rsidR="009A302B" w:rsidRDefault="009A302B" w:rsidP="00A3764A">
      <w:pPr>
        <w:tabs>
          <w:tab w:val="left" w:pos="360"/>
        </w:tabs>
        <w:autoSpaceDE w:val="0"/>
        <w:autoSpaceDN w:val="0"/>
        <w:adjustRightInd w:val="0"/>
        <w:spacing w:before="0" w:after="240"/>
        <w:jc w:val="both"/>
        <w:outlineLvl w:val="0"/>
        <w:rPr>
          <w:sz w:val="22"/>
          <w:szCs w:val="22"/>
        </w:rPr>
      </w:pPr>
      <w:r w:rsidRPr="009A302B">
        <w:rPr>
          <w:sz w:val="22"/>
          <w:szCs w:val="22"/>
        </w:rPr>
        <w:t>“</w:t>
      </w:r>
      <w:r w:rsidRPr="009A302B">
        <w:rPr>
          <w:b/>
          <w:sz w:val="22"/>
          <w:szCs w:val="22"/>
        </w:rPr>
        <w:t>Common Stock</w:t>
      </w:r>
      <w:r w:rsidRPr="009A302B">
        <w:rPr>
          <w:sz w:val="22"/>
          <w:szCs w:val="22"/>
        </w:rPr>
        <w:t>”</w:t>
      </w:r>
      <w:r w:rsidRPr="0040545E">
        <w:rPr>
          <w:sz w:val="22"/>
          <w:szCs w:val="22"/>
        </w:rPr>
        <w:t xml:space="preserve"> means common stock, par value </w:t>
      </w:r>
      <w:r w:rsidRPr="00D2772C">
        <w:rPr>
          <w:sz w:val="22"/>
          <w:szCs w:val="22"/>
        </w:rPr>
        <w:t>$0.</w:t>
      </w:r>
      <w:r w:rsidR="00D2772C" w:rsidRPr="00D2772C">
        <w:rPr>
          <w:sz w:val="22"/>
          <w:szCs w:val="22"/>
        </w:rPr>
        <w:t>00001</w:t>
      </w:r>
      <w:r w:rsidRPr="0040545E">
        <w:rPr>
          <w:sz w:val="22"/>
          <w:szCs w:val="22"/>
        </w:rPr>
        <w:t xml:space="preserve"> per share, of the Company.</w:t>
      </w:r>
    </w:p>
    <w:p w14:paraId="73DD7753" w14:textId="3C8F841F" w:rsidR="00617CF5" w:rsidRDefault="00617CF5" w:rsidP="00A3764A">
      <w:pPr>
        <w:tabs>
          <w:tab w:val="left" w:pos="360"/>
        </w:tabs>
        <w:autoSpaceDE w:val="0"/>
        <w:autoSpaceDN w:val="0"/>
        <w:adjustRightInd w:val="0"/>
        <w:spacing w:before="0" w:after="240"/>
        <w:jc w:val="both"/>
        <w:rPr>
          <w:sz w:val="22"/>
          <w:szCs w:val="22"/>
        </w:rPr>
      </w:pPr>
      <w:r>
        <w:rPr>
          <w:sz w:val="22"/>
          <w:szCs w:val="22"/>
        </w:rPr>
        <w:t>“</w:t>
      </w:r>
      <w:r w:rsidRPr="00EA04EF">
        <w:rPr>
          <w:b/>
          <w:sz w:val="22"/>
          <w:szCs w:val="22"/>
        </w:rPr>
        <w:t>Conversion Price</w:t>
      </w:r>
      <w:r>
        <w:rPr>
          <w:sz w:val="22"/>
          <w:szCs w:val="22"/>
        </w:rPr>
        <w:t xml:space="preserve">” means </w:t>
      </w:r>
      <w:r w:rsidR="000A3106">
        <w:rPr>
          <w:sz w:val="22"/>
          <w:szCs w:val="22"/>
        </w:rPr>
        <w:t>either: (</w:t>
      </w:r>
      <w:proofErr w:type="spellStart"/>
      <w:r w:rsidR="000A3106">
        <w:rPr>
          <w:sz w:val="22"/>
          <w:szCs w:val="22"/>
        </w:rPr>
        <w:t>i</w:t>
      </w:r>
      <w:proofErr w:type="spellEnd"/>
      <w:r w:rsidR="000A3106">
        <w:rPr>
          <w:sz w:val="22"/>
          <w:szCs w:val="22"/>
        </w:rPr>
        <w:t>) the Safe Price or (ii) the Discount Price, whichever calculation results in a greater number of s</w:t>
      </w:r>
      <w:r w:rsidR="000D1359">
        <w:rPr>
          <w:sz w:val="22"/>
          <w:szCs w:val="22"/>
        </w:rPr>
        <w:t>h</w:t>
      </w:r>
      <w:r w:rsidR="000A3106">
        <w:rPr>
          <w:sz w:val="22"/>
          <w:szCs w:val="22"/>
        </w:rPr>
        <w:t>ares of Preferred Stock</w:t>
      </w:r>
      <w:r w:rsidR="00EA04EF">
        <w:rPr>
          <w:sz w:val="22"/>
          <w:szCs w:val="22"/>
        </w:rPr>
        <w:t>.</w:t>
      </w:r>
    </w:p>
    <w:p w14:paraId="7CC11349" w14:textId="68CC7964" w:rsidR="000A3106" w:rsidRDefault="000A3106" w:rsidP="00A3764A">
      <w:pPr>
        <w:tabs>
          <w:tab w:val="left" w:pos="360"/>
        </w:tabs>
        <w:autoSpaceDE w:val="0"/>
        <w:autoSpaceDN w:val="0"/>
        <w:adjustRightInd w:val="0"/>
        <w:spacing w:before="0" w:after="240"/>
        <w:jc w:val="both"/>
        <w:rPr>
          <w:sz w:val="22"/>
          <w:szCs w:val="22"/>
        </w:rPr>
      </w:pPr>
      <w:r>
        <w:rPr>
          <w:sz w:val="22"/>
          <w:szCs w:val="22"/>
        </w:rPr>
        <w:t>“</w:t>
      </w:r>
      <w:r w:rsidRPr="000D1359">
        <w:rPr>
          <w:b/>
          <w:sz w:val="22"/>
          <w:szCs w:val="22"/>
        </w:rPr>
        <w:t>Discount</w:t>
      </w:r>
      <w:r>
        <w:rPr>
          <w:sz w:val="22"/>
          <w:szCs w:val="22"/>
        </w:rPr>
        <w:t xml:space="preserve"> </w:t>
      </w:r>
      <w:r w:rsidRPr="000D1359">
        <w:rPr>
          <w:b/>
          <w:sz w:val="22"/>
          <w:szCs w:val="22"/>
        </w:rPr>
        <w:t>Price</w:t>
      </w:r>
      <w:r>
        <w:rPr>
          <w:sz w:val="22"/>
          <w:szCs w:val="22"/>
        </w:rPr>
        <w:t>” means the price per share of Preferred Stock sold in an Equity Financing multiplied by the Discount Rate.</w:t>
      </w:r>
    </w:p>
    <w:p w14:paraId="160DCDC2" w14:textId="77777777" w:rsidR="006F37FE" w:rsidRPr="00E00CFC" w:rsidRDefault="001D7B14" w:rsidP="008A2CEC">
      <w:pPr>
        <w:tabs>
          <w:tab w:val="left" w:pos="360"/>
        </w:tabs>
        <w:autoSpaceDE w:val="0"/>
        <w:autoSpaceDN w:val="0"/>
        <w:adjustRightInd w:val="0"/>
        <w:spacing w:before="0"/>
        <w:jc w:val="both"/>
        <w:rPr>
          <w:sz w:val="22"/>
          <w:szCs w:val="22"/>
        </w:rPr>
      </w:pPr>
      <w:r w:rsidRPr="00E00CFC">
        <w:rPr>
          <w:sz w:val="22"/>
          <w:szCs w:val="22"/>
        </w:rPr>
        <w:t>“</w:t>
      </w:r>
      <w:r w:rsidR="00132B42" w:rsidRPr="00E00CFC">
        <w:rPr>
          <w:b/>
          <w:sz w:val="22"/>
          <w:szCs w:val="22"/>
        </w:rPr>
        <w:t>Dissolution</w:t>
      </w:r>
      <w:r w:rsidRPr="00E00CFC">
        <w:rPr>
          <w:b/>
          <w:sz w:val="22"/>
          <w:szCs w:val="22"/>
        </w:rPr>
        <w:t xml:space="preserve"> Event</w:t>
      </w:r>
      <w:r w:rsidRPr="00E00CFC">
        <w:rPr>
          <w:sz w:val="22"/>
          <w:szCs w:val="22"/>
        </w:rPr>
        <w:t>” mean</w:t>
      </w:r>
      <w:r w:rsidR="00FA1C90" w:rsidRPr="00E00CFC">
        <w:rPr>
          <w:sz w:val="22"/>
          <w:szCs w:val="22"/>
        </w:rPr>
        <w:t>s</w:t>
      </w:r>
      <w:r w:rsidRPr="00E00CFC">
        <w:rPr>
          <w:sz w:val="22"/>
          <w:szCs w:val="22"/>
        </w:rPr>
        <w:t xml:space="preserve"> </w:t>
      </w:r>
      <w:r w:rsidR="00F211B2" w:rsidRPr="00E00CFC">
        <w:rPr>
          <w:sz w:val="22"/>
          <w:szCs w:val="22"/>
        </w:rPr>
        <w:t>(</w:t>
      </w:r>
      <w:proofErr w:type="spellStart"/>
      <w:r w:rsidR="00F211B2" w:rsidRPr="00E00CFC">
        <w:rPr>
          <w:sz w:val="22"/>
          <w:szCs w:val="22"/>
        </w:rPr>
        <w:t>i</w:t>
      </w:r>
      <w:proofErr w:type="spellEnd"/>
      <w:r w:rsidR="00F211B2" w:rsidRPr="00E00CFC">
        <w:rPr>
          <w:sz w:val="22"/>
          <w:szCs w:val="22"/>
        </w:rPr>
        <w:t xml:space="preserve">) a voluntary termination of operations, (ii) a general assignment for the benefit of the Company’s creditors or (iii) </w:t>
      </w:r>
      <w:r w:rsidRPr="00E00CFC">
        <w:rPr>
          <w:sz w:val="22"/>
          <w:szCs w:val="22"/>
        </w:rPr>
        <w:t xml:space="preserve">any </w:t>
      </w:r>
      <w:r w:rsidR="00F211B2" w:rsidRPr="00E00CFC">
        <w:rPr>
          <w:sz w:val="22"/>
          <w:szCs w:val="22"/>
        </w:rPr>
        <w:t xml:space="preserve">other </w:t>
      </w:r>
      <w:r w:rsidRPr="00E00CFC">
        <w:rPr>
          <w:sz w:val="22"/>
          <w:szCs w:val="22"/>
        </w:rPr>
        <w:t>liquidation, dissolution or winding up of the Company</w:t>
      </w:r>
      <w:r w:rsidR="00D20E84" w:rsidRPr="00E00CFC">
        <w:rPr>
          <w:sz w:val="22"/>
          <w:szCs w:val="22"/>
        </w:rPr>
        <w:t xml:space="preserve"> (</w:t>
      </w:r>
      <w:r w:rsidR="00D20E84" w:rsidRPr="00015024">
        <w:rPr>
          <w:i/>
          <w:sz w:val="22"/>
          <w:szCs w:val="22"/>
        </w:rPr>
        <w:t>excluding</w:t>
      </w:r>
      <w:r w:rsidR="00D20E84" w:rsidRPr="00E00CFC">
        <w:rPr>
          <w:sz w:val="22"/>
          <w:szCs w:val="22"/>
        </w:rPr>
        <w:t xml:space="preserve"> a Liquidity Event)</w:t>
      </w:r>
      <w:r w:rsidRPr="00E00CFC">
        <w:rPr>
          <w:sz w:val="22"/>
          <w:szCs w:val="22"/>
        </w:rPr>
        <w:t>, whether voluntary or involuntary</w:t>
      </w:r>
      <w:r w:rsidR="00234BC8" w:rsidRPr="00E00CFC">
        <w:rPr>
          <w:sz w:val="22"/>
          <w:szCs w:val="22"/>
        </w:rPr>
        <w:t>.</w:t>
      </w:r>
    </w:p>
    <w:p w14:paraId="2A9B573B" w14:textId="4A232198" w:rsidR="0043111A" w:rsidRPr="00E00CFC" w:rsidRDefault="0043111A" w:rsidP="008A2CEC">
      <w:pPr>
        <w:tabs>
          <w:tab w:val="left" w:pos="360"/>
        </w:tabs>
        <w:autoSpaceDE w:val="0"/>
        <w:autoSpaceDN w:val="0"/>
        <w:adjustRightInd w:val="0"/>
        <w:jc w:val="both"/>
        <w:rPr>
          <w:sz w:val="22"/>
          <w:szCs w:val="22"/>
        </w:rPr>
      </w:pPr>
      <w:r w:rsidRPr="00E00CFC">
        <w:rPr>
          <w:sz w:val="22"/>
          <w:szCs w:val="22"/>
        </w:rPr>
        <w:t>“</w:t>
      </w:r>
      <w:r w:rsidRPr="00E00CFC">
        <w:rPr>
          <w:b/>
          <w:sz w:val="22"/>
          <w:szCs w:val="22"/>
        </w:rPr>
        <w:t>Equity Financing</w:t>
      </w:r>
      <w:r w:rsidRPr="00E00CFC">
        <w:rPr>
          <w:sz w:val="22"/>
          <w:szCs w:val="22"/>
        </w:rPr>
        <w:t>”</w:t>
      </w:r>
      <w:r w:rsidR="00DF5844" w:rsidRPr="00E00CFC">
        <w:rPr>
          <w:sz w:val="22"/>
          <w:szCs w:val="22"/>
        </w:rPr>
        <w:t xml:space="preserve"> </w:t>
      </w:r>
      <w:r w:rsidR="005B7B77" w:rsidRPr="0040545E">
        <w:rPr>
          <w:sz w:val="22"/>
          <w:szCs w:val="22"/>
        </w:rPr>
        <w:t xml:space="preserve">shall mean the next sale (or series of related sales) by the Company of its Equity Securities to one or more third parties following the date of this </w:t>
      </w:r>
      <w:r w:rsidR="00BD2973">
        <w:rPr>
          <w:sz w:val="22"/>
          <w:szCs w:val="22"/>
        </w:rPr>
        <w:t>instrument</w:t>
      </w:r>
      <w:r w:rsidR="00BD2973" w:rsidRPr="0040545E">
        <w:rPr>
          <w:sz w:val="22"/>
          <w:szCs w:val="22"/>
        </w:rPr>
        <w:t xml:space="preserve"> </w:t>
      </w:r>
      <w:r w:rsidR="005B7B77" w:rsidRPr="0040545E">
        <w:rPr>
          <w:sz w:val="22"/>
          <w:szCs w:val="22"/>
        </w:rPr>
        <w:t xml:space="preserve">from which the Company receives gross proceeds of not less than </w:t>
      </w:r>
      <w:bookmarkStart w:id="1" w:name="OLE_LINK1"/>
      <w:bookmarkStart w:id="2" w:name="OLE_LINK2"/>
      <w:r w:rsidR="00D2772C" w:rsidRPr="00D2772C">
        <w:rPr>
          <w:sz w:val="22"/>
          <w:szCs w:val="22"/>
        </w:rPr>
        <w:t>$1,000,000</w:t>
      </w:r>
      <w:r w:rsidR="005B7B77" w:rsidRPr="0040545E">
        <w:rPr>
          <w:sz w:val="22"/>
          <w:szCs w:val="22"/>
        </w:rPr>
        <w:t xml:space="preserve"> </w:t>
      </w:r>
      <w:bookmarkEnd w:id="1"/>
      <w:bookmarkEnd w:id="2"/>
      <w:r w:rsidR="005B7B77" w:rsidRPr="0040545E">
        <w:rPr>
          <w:sz w:val="22"/>
          <w:szCs w:val="22"/>
        </w:rPr>
        <w:t xml:space="preserve">(excluding the conversion of </w:t>
      </w:r>
      <w:r w:rsidR="00BD2973">
        <w:rPr>
          <w:sz w:val="22"/>
          <w:szCs w:val="22"/>
        </w:rPr>
        <w:t xml:space="preserve">any instruments convertible into or exercisable or exchangeable for </w:t>
      </w:r>
      <w:r w:rsidR="00813D25">
        <w:rPr>
          <w:sz w:val="22"/>
          <w:szCs w:val="22"/>
        </w:rPr>
        <w:t>Capital S</w:t>
      </w:r>
      <w:r w:rsidR="00B673F2">
        <w:rPr>
          <w:sz w:val="22"/>
          <w:szCs w:val="22"/>
        </w:rPr>
        <w:t>tock</w:t>
      </w:r>
      <w:r w:rsidR="00BD2973">
        <w:rPr>
          <w:sz w:val="22"/>
          <w:szCs w:val="22"/>
        </w:rPr>
        <w:t xml:space="preserve">, </w:t>
      </w:r>
      <w:r w:rsidR="00BC6DC3">
        <w:rPr>
          <w:sz w:val="22"/>
          <w:szCs w:val="22"/>
        </w:rPr>
        <w:t>such as</w:t>
      </w:r>
      <w:r w:rsidR="00BD2973">
        <w:rPr>
          <w:sz w:val="22"/>
          <w:szCs w:val="22"/>
        </w:rPr>
        <w:t xml:space="preserve"> </w:t>
      </w:r>
      <w:r w:rsidR="00C04B66">
        <w:rPr>
          <w:sz w:val="22"/>
          <w:szCs w:val="22"/>
        </w:rPr>
        <w:t>Safes</w:t>
      </w:r>
      <w:r w:rsidR="00BD2973">
        <w:rPr>
          <w:sz w:val="22"/>
          <w:szCs w:val="22"/>
        </w:rPr>
        <w:t xml:space="preserve"> or </w:t>
      </w:r>
      <w:r w:rsidR="00C04B66">
        <w:rPr>
          <w:sz w:val="22"/>
          <w:szCs w:val="22"/>
        </w:rPr>
        <w:t xml:space="preserve">convertible </w:t>
      </w:r>
      <w:r w:rsidR="00BC6DC3">
        <w:rPr>
          <w:sz w:val="22"/>
          <w:szCs w:val="22"/>
        </w:rPr>
        <w:t xml:space="preserve">promissory </w:t>
      </w:r>
      <w:r w:rsidR="00C04B66">
        <w:rPr>
          <w:sz w:val="22"/>
          <w:szCs w:val="22"/>
        </w:rPr>
        <w:t>notes</w:t>
      </w:r>
      <w:r w:rsidR="005B7B77" w:rsidRPr="0040545E">
        <w:rPr>
          <w:sz w:val="22"/>
          <w:szCs w:val="22"/>
        </w:rPr>
        <w:t>) with the principal purpose of raising capital.</w:t>
      </w:r>
    </w:p>
    <w:p w14:paraId="246E3E6A" w14:textId="49A1B25D" w:rsidR="005B7B77" w:rsidRDefault="005B7B77" w:rsidP="00EA04EF">
      <w:pPr>
        <w:tabs>
          <w:tab w:val="left" w:pos="360"/>
        </w:tabs>
        <w:autoSpaceDE w:val="0"/>
        <w:autoSpaceDN w:val="0"/>
        <w:adjustRightInd w:val="0"/>
        <w:jc w:val="both"/>
        <w:rPr>
          <w:sz w:val="22"/>
          <w:szCs w:val="22"/>
        </w:rPr>
      </w:pPr>
      <w:r w:rsidRPr="005B7B77">
        <w:rPr>
          <w:sz w:val="22"/>
          <w:szCs w:val="22"/>
        </w:rPr>
        <w:t>“</w:t>
      </w:r>
      <w:r w:rsidRPr="00B2387F">
        <w:rPr>
          <w:b/>
          <w:sz w:val="22"/>
          <w:szCs w:val="22"/>
        </w:rPr>
        <w:t>Equity Securities</w:t>
      </w:r>
      <w:r w:rsidRPr="005B7B77">
        <w:rPr>
          <w:sz w:val="22"/>
          <w:szCs w:val="22"/>
        </w:rPr>
        <w:t>”</w:t>
      </w:r>
      <w:r w:rsidRPr="0040545E">
        <w:rPr>
          <w:sz w:val="22"/>
          <w:szCs w:val="22"/>
        </w:rPr>
        <w:t xml:space="preserve"> shall mean Common Stock or </w:t>
      </w:r>
      <w:r w:rsidR="00BC6DC3">
        <w:rPr>
          <w:sz w:val="22"/>
          <w:szCs w:val="22"/>
        </w:rPr>
        <w:t>P</w:t>
      </w:r>
      <w:r w:rsidRPr="0040545E">
        <w:rPr>
          <w:sz w:val="22"/>
          <w:szCs w:val="22"/>
        </w:rPr>
        <w:t xml:space="preserve">referred </w:t>
      </w:r>
      <w:r w:rsidR="00BC6DC3">
        <w:rPr>
          <w:sz w:val="22"/>
          <w:szCs w:val="22"/>
        </w:rPr>
        <w:t>S</w:t>
      </w:r>
      <w:r w:rsidRPr="0040545E">
        <w:rPr>
          <w:sz w:val="22"/>
          <w:szCs w:val="22"/>
        </w:rPr>
        <w:t xml:space="preserve">tock or any securities convertible into, exchangeable for or conferring the right to purchase (with or without additional consideration) Common Stock or </w:t>
      </w:r>
      <w:r w:rsidR="007273EA">
        <w:rPr>
          <w:sz w:val="22"/>
          <w:szCs w:val="22"/>
        </w:rPr>
        <w:t>P</w:t>
      </w:r>
      <w:r w:rsidRPr="0040545E">
        <w:rPr>
          <w:sz w:val="22"/>
          <w:szCs w:val="22"/>
        </w:rPr>
        <w:t xml:space="preserve">referred </w:t>
      </w:r>
      <w:r w:rsidR="007273EA">
        <w:rPr>
          <w:sz w:val="22"/>
          <w:szCs w:val="22"/>
        </w:rPr>
        <w:t>S</w:t>
      </w:r>
      <w:r w:rsidRPr="0040545E">
        <w:rPr>
          <w:sz w:val="22"/>
          <w:szCs w:val="22"/>
        </w:rPr>
        <w:t>tock, except in each case, (</w:t>
      </w:r>
      <w:proofErr w:type="spellStart"/>
      <w:r w:rsidRPr="0040545E">
        <w:rPr>
          <w:sz w:val="22"/>
          <w:szCs w:val="22"/>
        </w:rPr>
        <w:t>i</w:t>
      </w:r>
      <w:proofErr w:type="spellEnd"/>
      <w:r w:rsidRPr="0040545E">
        <w:rPr>
          <w:sz w:val="22"/>
          <w:szCs w:val="22"/>
        </w:rPr>
        <w:t>) any security granted, issued and/or sold by the Company to any director, officer, employee, advisor or consultant of the Company in such capacity for the primary purpose of soliciting or retaining his, her or its services, (ii) an</w:t>
      </w:r>
      <w:r>
        <w:rPr>
          <w:sz w:val="22"/>
          <w:szCs w:val="22"/>
        </w:rPr>
        <w:t xml:space="preserve">y convertible promissory notes </w:t>
      </w:r>
      <w:r w:rsidRPr="0040545E">
        <w:rPr>
          <w:sz w:val="22"/>
          <w:szCs w:val="22"/>
        </w:rPr>
        <w:t xml:space="preserve">issued by the Company, and (iii) any </w:t>
      </w:r>
      <w:r w:rsidR="00A03B36">
        <w:rPr>
          <w:sz w:val="22"/>
          <w:szCs w:val="22"/>
        </w:rPr>
        <w:t>S</w:t>
      </w:r>
      <w:r w:rsidR="00F4239E">
        <w:rPr>
          <w:sz w:val="22"/>
          <w:szCs w:val="22"/>
        </w:rPr>
        <w:t>afe</w:t>
      </w:r>
      <w:r w:rsidRPr="0040545E">
        <w:rPr>
          <w:sz w:val="22"/>
          <w:szCs w:val="22"/>
        </w:rPr>
        <w:t>s issued.</w:t>
      </w:r>
    </w:p>
    <w:p w14:paraId="345D2307" w14:textId="6E87369A" w:rsidR="00EA04EF" w:rsidRDefault="00EA04EF" w:rsidP="00EA04EF">
      <w:pPr>
        <w:tabs>
          <w:tab w:val="left" w:pos="360"/>
        </w:tabs>
        <w:autoSpaceDE w:val="0"/>
        <w:autoSpaceDN w:val="0"/>
        <w:adjustRightInd w:val="0"/>
        <w:jc w:val="both"/>
        <w:rPr>
          <w:sz w:val="22"/>
          <w:szCs w:val="22"/>
        </w:rPr>
      </w:pPr>
      <w:r w:rsidRPr="0040545E">
        <w:rPr>
          <w:sz w:val="22"/>
          <w:szCs w:val="22"/>
        </w:rPr>
        <w:t>“</w:t>
      </w:r>
      <w:r w:rsidRPr="00EA04EF">
        <w:rPr>
          <w:b/>
          <w:sz w:val="22"/>
          <w:szCs w:val="22"/>
        </w:rPr>
        <w:t>Fully Diluted Capitalization</w:t>
      </w:r>
      <w:r w:rsidRPr="0040545E">
        <w:rPr>
          <w:sz w:val="22"/>
          <w:szCs w:val="22"/>
        </w:rPr>
        <w:t xml:space="preserve">” shall mean the aggregate number of issued and outstanding shares of </w:t>
      </w:r>
      <w:r w:rsidR="00813D25">
        <w:rPr>
          <w:sz w:val="22"/>
          <w:szCs w:val="22"/>
        </w:rPr>
        <w:t>Capital S</w:t>
      </w:r>
      <w:r w:rsidRPr="0040545E">
        <w:rPr>
          <w:sz w:val="22"/>
          <w:szCs w:val="22"/>
        </w:rPr>
        <w:t xml:space="preserve">tock, assuming full conversion or exercise of all convertible and exercisable securities then outstanding, including shares of convertible Preferred Stock and all outstanding vested or unvested options or warrants to purchase </w:t>
      </w:r>
      <w:r w:rsidR="00813D25">
        <w:rPr>
          <w:sz w:val="22"/>
          <w:szCs w:val="22"/>
        </w:rPr>
        <w:t>Capital S</w:t>
      </w:r>
      <w:r w:rsidRPr="0040545E">
        <w:rPr>
          <w:sz w:val="22"/>
          <w:szCs w:val="22"/>
        </w:rPr>
        <w:t>tock</w:t>
      </w:r>
      <w:r w:rsidR="008D48F9">
        <w:rPr>
          <w:sz w:val="22"/>
          <w:szCs w:val="22"/>
        </w:rPr>
        <w:t>,</w:t>
      </w:r>
      <w:r w:rsidRPr="0040545E">
        <w:rPr>
          <w:sz w:val="22"/>
          <w:szCs w:val="22"/>
        </w:rPr>
        <w:t xml:space="preserve"> </w:t>
      </w:r>
      <w:r>
        <w:rPr>
          <w:sz w:val="22"/>
          <w:szCs w:val="22"/>
        </w:rPr>
        <w:t>but excluding (</w:t>
      </w:r>
      <w:proofErr w:type="spellStart"/>
      <w:r>
        <w:rPr>
          <w:sz w:val="22"/>
          <w:szCs w:val="22"/>
        </w:rPr>
        <w:t>i</w:t>
      </w:r>
      <w:proofErr w:type="spellEnd"/>
      <w:r>
        <w:rPr>
          <w:sz w:val="22"/>
          <w:szCs w:val="22"/>
        </w:rPr>
        <w:t xml:space="preserve">) </w:t>
      </w:r>
      <w:r w:rsidRPr="0040545E">
        <w:rPr>
          <w:sz w:val="22"/>
          <w:szCs w:val="22"/>
        </w:rPr>
        <w:t xml:space="preserve">the issuance of all shares of </w:t>
      </w:r>
      <w:r w:rsidR="00813D25">
        <w:rPr>
          <w:sz w:val="22"/>
          <w:szCs w:val="22"/>
        </w:rPr>
        <w:t>Capital S</w:t>
      </w:r>
      <w:r w:rsidRPr="0040545E">
        <w:rPr>
          <w:sz w:val="22"/>
          <w:szCs w:val="22"/>
        </w:rPr>
        <w:t>tock reserved and available for future issuance under any of the Company’s existing equity in</w:t>
      </w:r>
      <w:r w:rsidR="00E86426">
        <w:rPr>
          <w:sz w:val="22"/>
          <w:szCs w:val="22"/>
        </w:rPr>
        <w:t>c</w:t>
      </w:r>
      <w:r w:rsidRPr="0040545E">
        <w:rPr>
          <w:sz w:val="22"/>
          <w:szCs w:val="22"/>
        </w:rPr>
        <w:t>entive</w:t>
      </w:r>
      <w:r w:rsidR="008D48F9">
        <w:rPr>
          <w:sz w:val="22"/>
          <w:szCs w:val="22"/>
        </w:rPr>
        <w:t xml:space="preserve"> plans,</w:t>
      </w:r>
      <w:r>
        <w:rPr>
          <w:sz w:val="22"/>
          <w:szCs w:val="22"/>
        </w:rPr>
        <w:t xml:space="preserve"> </w:t>
      </w:r>
      <w:r w:rsidRPr="0040545E">
        <w:rPr>
          <w:sz w:val="22"/>
          <w:szCs w:val="22"/>
        </w:rPr>
        <w:t>(</w:t>
      </w:r>
      <w:r>
        <w:rPr>
          <w:sz w:val="22"/>
          <w:szCs w:val="22"/>
        </w:rPr>
        <w:t>i</w:t>
      </w:r>
      <w:r w:rsidRPr="0040545E">
        <w:rPr>
          <w:sz w:val="22"/>
          <w:szCs w:val="22"/>
        </w:rPr>
        <w:t>i) convertible promissory notes issued by the Company, (i</w:t>
      </w:r>
      <w:r>
        <w:rPr>
          <w:sz w:val="22"/>
          <w:szCs w:val="22"/>
        </w:rPr>
        <w:t>i</w:t>
      </w:r>
      <w:r w:rsidRPr="0040545E">
        <w:rPr>
          <w:sz w:val="22"/>
          <w:szCs w:val="22"/>
        </w:rPr>
        <w:t xml:space="preserve">i) any </w:t>
      </w:r>
      <w:r w:rsidR="00A03B36">
        <w:rPr>
          <w:sz w:val="22"/>
          <w:szCs w:val="22"/>
        </w:rPr>
        <w:t>S</w:t>
      </w:r>
      <w:r w:rsidR="00F4239E">
        <w:rPr>
          <w:sz w:val="22"/>
          <w:szCs w:val="22"/>
        </w:rPr>
        <w:t>afe</w:t>
      </w:r>
      <w:r w:rsidRPr="0040545E">
        <w:rPr>
          <w:sz w:val="22"/>
          <w:szCs w:val="22"/>
        </w:rPr>
        <w:t xml:space="preserve">s, and </w:t>
      </w:r>
      <w:r>
        <w:rPr>
          <w:sz w:val="22"/>
          <w:szCs w:val="22"/>
        </w:rPr>
        <w:t>(</w:t>
      </w:r>
      <w:proofErr w:type="spellStart"/>
      <w:r>
        <w:rPr>
          <w:sz w:val="22"/>
          <w:szCs w:val="22"/>
        </w:rPr>
        <w:t>iv</w:t>
      </w:r>
      <w:proofErr w:type="spellEnd"/>
      <w:r w:rsidRPr="0040545E">
        <w:rPr>
          <w:sz w:val="22"/>
          <w:szCs w:val="22"/>
        </w:rPr>
        <w:t xml:space="preserve">) any </w:t>
      </w:r>
      <w:r w:rsidR="008748A8">
        <w:rPr>
          <w:sz w:val="22"/>
          <w:szCs w:val="22"/>
        </w:rPr>
        <w:t>equity s</w:t>
      </w:r>
      <w:r w:rsidRPr="0040545E">
        <w:rPr>
          <w:sz w:val="22"/>
          <w:szCs w:val="22"/>
        </w:rPr>
        <w:t xml:space="preserve">ecurities that are issuable upon conversion of any outstanding convertible promissory notes or </w:t>
      </w:r>
      <w:r w:rsidR="00A03B36">
        <w:rPr>
          <w:sz w:val="22"/>
          <w:szCs w:val="22"/>
        </w:rPr>
        <w:t>S</w:t>
      </w:r>
      <w:r w:rsidR="00F4239E">
        <w:rPr>
          <w:sz w:val="22"/>
          <w:szCs w:val="22"/>
        </w:rPr>
        <w:t>afe</w:t>
      </w:r>
      <w:r w:rsidRPr="0040545E">
        <w:rPr>
          <w:sz w:val="22"/>
          <w:szCs w:val="22"/>
        </w:rPr>
        <w:t>s.</w:t>
      </w:r>
    </w:p>
    <w:p w14:paraId="7B777374" w14:textId="7E8D98F9" w:rsidR="004514BE" w:rsidRPr="00E00CFC" w:rsidRDefault="00F43A4F" w:rsidP="00A3764A">
      <w:pPr>
        <w:tabs>
          <w:tab w:val="left" w:pos="360"/>
        </w:tabs>
        <w:autoSpaceDE w:val="0"/>
        <w:autoSpaceDN w:val="0"/>
        <w:adjustRightInd w:val="0"/>
        <w:spacing w:after="240"/>
        <w:jc w:val="both"/>
        <w:rPr>
          <w:sz w:val="22"/>
          <w:szCs w:val="22"/>
        </w:rPr>
      </w:pPr>
      <w:r w:rsidRPr="00E00CFC">
        <w:rPr>
          <w:sz w:val="22"/>
          <w:szCs w:val="22"/>
        </w:rPr>
        <w:t>“</w:t>
      </w:r>
      <w:r w:rsidR="00AB3466">
        <w:rPr>
          <w:b/>
          <w:sz w:val="22"/>
          <w:szCs w:val="22"/>
        </w:rPr>
        <w:t>IPO</w:t>
      </w:r>
      <w:r w:rsidRPr="00E00CFC">
        <w:rPr>
          <w:sz w:val="22"/>
          <w:szCs w:val="22"/>
        </w:rPr>
        <w:t>” means the closing of the Company’s first firm commitment underwritten initial public offering of Common Stock pursuant to a</w:t>
      </w:r>
      <w:r w:rsidR="00823F02">
        <w:rPr>
          <w:sz w:val="22"/>
          <w:szCs w:val="22"/>
        </w:rPr>
        <w:t>n effective</w:t>
      </w:r>
      <w:r w:rsidRPr="00E00CFC">
        <w:rPr>
          <w:sz w:val="22"/>
          <w:szCs w:val="22"/>
        </w:rPr>
        <w:t xml:space="preserve"> registration statement filed under the Securities Act.</w:t>
      </w:r>
    </w:p>
    <w:p w14:paraId="632C8010" w14:textId="1DD7E58A" w:rsidR="00BD4B21" w:rsidRDefault="00BD4B21" w:rsidP="00A3764A">
      <w:pPr>
        <w:tabs>
          <w:tab w:val="left" w:pos="360"/>
        </w:tabs>
        <w:autoSpaceDE w:val="0"/>
        <w:autoSpaceDN w:val="0"/>
        <w:adjustRightInd w:val="0"/>
        <w:spacing w:before="0" w:after="240"/>
        <w:jc w:val="both"/>
        <w:rPr>
          <w:sz w:val="22"/>
          <w:szCs w:val="22"/>
        </w:rPr>
      </w:pPr>
      <w:r>
        <w:rPr>
          <w:sz w:val="22"/>
          <w:szCs w:val="22"/>
          <w:lang w:eastAsia="zh-TW"/>
        </w:rPr>
        <w:t>“</w:t>
      </w:r>
      <w:r>
        <w:rPr>
          <w:b/>
          <w:bCs/>
          <w:sz w:val="22"/>
          <w:szCs w:val="22"/>
          <w:lang w:eastAsia="zh-TW"/>
        </w:rPr>
        <w:t>Liquidity Capitalization</w:t>
      </w:r>
      <w:r>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Pr>
          <w:b/>
          <w:bCs/>
          <w:sz w:val="22"/>
          <w:szCs w:val="22"/>
          <w:lang w:eastAsia="zh-TW"/>
        </w:rPr>
        <w:t xml:space="preserve"> </w:t>
      </w:r>
      <w:r w:rsidRPr="000D1359">
        <w:rPr>
          <w:bCs/>
          <w:sz w:val="22"/>
          <w:szCs w:val="22"/>
          <w:lang w:eastAsia="zh-TW"/>
        </w:rPr>
        <w:t>excluding</w:t>
      </w:r>
      <w:r>
        <w:rPr>
          <w:sz w:val="22"/>
          <w:szCs w:val="22"/>
          <w:lang w:eastAsia="zh-TW"/>
        </w:rPr>
        <w:t>: (</w:t>
      </w:r>
      <w:proofErr w:type="spellStart"/>
      <w:r>
        <w:rPr>
          <w:sz w:val="22"/>
          <w:szCs w:val="22"/>
          <w:lang w:eastAsia="zh-TW"/>
        </w:rPr>
        <w:t>i</w:t>
      </w:r>
      <w:proofErr w:type="spellEnd"/>
      <w:r>
        <w:rPr>
          <w:sz w:val="22"/>
          <w:szCs w:val="22"/>
          <w:lang w:eastAsia="zh-TW"/>
        </w:rPr>
        <w:t xml:space="preserve">) shares of Common Stock reserved and available for future grant under any equity incentive or similar plan; (ii) </w:t>
      </w:r>
      <w:r w:rsidR="0085527C">
        <w:rPr>
          <w:sz w:val="22"/>
          <w:szCs w:val="22"/>
          <w:lang w:eastAsia="zh-TW"/>
        </w:rPr>
        <w:t>any Safes</w:t>
      </w:r>
      <w:r>
        <w:rPr>
          <w:sz w:val="22"/>
          <w:szCs w:val="22"/>
          <w:lang w:eastAsia="zh-TW"/>
        </w:rPr>
        <w:t xml:space="preserve">; </w:t>
      </w:r>
      <w:r w:rsidR="0085527C">
        <w:rPr>
          <w:sz w:val="22"/>
          <w:szCs w:val="22"/>
          <w:lang w:eastAsia="zh-TW"/>
        </w:rPr>
        <w:t xml:space="preserve">and </w:t>
      </w:r>
      <w:r>
        <w:rPr>
          <w:sz w:val="22"/>
          <w:szCs w:val="22"/>
          <w:lang w:eastAsia="zh-TW"/>
        </w:rPr>
        <w:t>(iii) convertible promissory notes.</w:t>
      </w:r>
      <w:r w:rsidRPr="00E00CFC">
        <w:rPr>
          <w:sz w:val="22"/>
          <w:szCs w:val="22"/>
        </w:rPr>
        <w:t xml:space="preserve"> </w:t>
      </w:r>
    </w:p>
    <w:p w14:paraId="6CC4CC77" w14:textId="5CCF52B9" w:rsidR="00E30361" w:rsidRDefault="00E30361"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Liquidity Event</w:t>
      </w:r>
      <w:r w:rsidRPr="00E00CFC">
        <w:rPr>
          <w:sz w:val="22"/>
          <w:szCs w:val="22"/>
        </w:rPr>
        <w:t xml:space="preserve">” means a Change of Control or an </w:t>
      </w:r>
      <w:r>
        <w:rPr>
          <w:sz w:val="22"/>
          <w:szCs w:val="22"/>
        </w:rPr>
        <w:t>IPO</w:t>
      </w:r>
      <w:r w:rsidRPr="00E00CFC">
        <w:rPr>
          <w:sz w:val="22"/>
          <w:szCs w:val="22"/>
        </w:rPr>
        <w:t xml:space="preserve">. </w:t>
      </w:r>
    </w:p>
    <w:p w14:paraId="6BF5792D" w14:textId="626521D2" w:rsidR="00BD4B21" w:rsidRDefault="00BD4B21" w:rsidP="00A3764A">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means the price per share equal to the Valuation Cap divided by the Liquidity Capitalization.</w:t>
      </w:r>
    </w:p>
    <w:p w14:paraId="4336B679" w14:textId="77777777" w:rsidR="00263E90" w:rsidRPr="00E00CFC" w:rsidRDefault="00263E90" w:rsidP="00BD4B21">
      <w:pPr>
        <w:tabs>
          <w:tab w:val="left" w:pos="360"/>
        </w:tabs>
        <w:autoSpaceDE w:val="0"/>
        <w:autoSpaceDN w:val="0"/>
        <w:adjustRightInd w:val="0"/>
        <w:spacing w:before="0"/>
        <w:jc w:val="both"/>
        <w:rPr>
          <w:sz w:val="22"/>
          <w:szCs w:val="22"/>
        </w:rPr>
      </w:pPr>
      <w:r>
        <w:rPr>
          <w:sz w:val="22"/>
          <w:szCs w:val="22"/>
        </w:rPr>
        <w:t>“</w:t>
      </w:r>
      <w:r w:rsidRPr="003C435C">
        <w:rPr>
          <w:b/>
          <w:sz w:val="22"/>
          <w:szCs w:val="22"/>
        </w:rPr>
        <w:t>Lock</w:t>
      </w:r>
      <w:r>
        <w:rPr>
          <w:b/>
          <w:sz w:val="22"/>
          <w:szCs w:val="22"/>
        </w:rPr>
        <w:t>-</w:t>
      </w:r>
      <w:r w:rsidRPr="003C435C">
        <w:rPr>
          <w:b/>
          <w:sz w:val="22"/>
          <w:szCs w:val="22"/>
        </w:rPr>
        <w:t>up Period</w:t>
      </w:r>
      <w:r>
        <w:rPr>
          <w:sz w:val="22"/>
          <w:szCs w:val="22"/>
        </w:rPr>
        <w:t xml:space="preserve">” means the </w:t>
      </w:r>
      <w:r w:rsidRPr="0040545E">
        <w:rPr>
          <w:sz w:val="22"/>
          <w:szCs w:val="22"/>
        </w:rPr>
        <w:t xml:space="preserve">period commencing on the date of the final prospectus relating to the Company’s </w:t>
      </w:r>
      <w:r w:rsidRPr="00184710">
        <w:rPr>
          <w:bCs/>
          <w:sz w:val="22"/>
          <w:szCs w:val="22"/>
        </w:rPr>
        <w:t>IPO</w:t>
      </w:r>
      <w:r w:rsidRPr="0040545E">
        <w:rPr>
          <w:sz w:val="22"/>
          <w:szCs w:val="22"/>
        </w:rPr>
        <w:t>, and ending on the date specified by the Company and the managing underwriter(s)</w:t>
      </w:r>
      <w:r>
        <w:rPr>
          <w:sz w:val="22"/>
          <w:szCs w:val="22"/>
        </w:rPr>
        <w:t>. Such period</w:t>
      </w:r>
      <w:r w:rsidRPr="0040545E">
        <w:rPr>
          <w:sz w:val="22"/>
          <w:szCs w:val="22"/>
        </w:rPr>
        <w:t xml:space="preserve"> </w:t>
      </w:r>
      <w:r>
        <w:rPr>
          <w:sz w:val="22"/>
          <w:szCs w:val="22"/>
        </w:rPr>
        <w:t>shall</w:t>
      </w:r>
      <w:r w:rsidRPr="0040545E">
        <w:rPr>
          <w:sz w:val="22"/>
          <w:szCs w:val="22"/>
        </w:rPr>
        <w:t xml:space="preserve"> </w:t>
      </w:r>
      <w:r>
        <w:rPr>
          <w:sz w:val="22"/>
          <w:szCs w:val="22"/>
        </w:rPr>
        <w:t xml:space="preserve">not </w:t>
      </w:r>
      <w:r w:rsidRPr="0040545E">
        <w:rPr>
          <w:sz w:val="22"/>
          <w:szCs w:val="22"/>
        </w:rPr>
        <w:t>exceed one hundred eighty (180) days, or such other period as may be requested by the Company or an underwriter to accommodate regulatory restrictions on (</w:t>
      </w:r>
      <w:proofErr w:type="spellStart"/>
      <w:r w:rsidRPr="0040545E">
        <w:rPr>
          <w:sz w:val="22"/>
          <w:szCs w:val="22"/>
        </w:rPr>
        <w:t>i</w:t>
      </w:r>
      <w:proofErr w:type="spellEnd"/>
      <w:r w:rsidRPr="0040545E">
        <w:rPr>
          <w:sz w:val="22"/>
          <w:szCs w:val="22"/>
        </w:rPr>
        <w:t>) the publication or other distribution of research reports, and (ii) analyst recommendations and opinions</w:t>
      </w:r>
      <w:r>
        <w:rPr>
          <w:sz w:val="22"/>
          <w:szCs w:val="22"/>
        </w:rPr>
        <w:t>.</w:t>
      </w:r>
    </w:p>
    <w:p w14:paraId="25031501" w14:textId="77777777" w:rsidR="000313E8" w:rsidRDefault="000313E8" w:rsidP="00615A3B">
      <w:pPr>
        <w:tabs>
          <w:tab w:val="left" w:pos="360"/>
        </w:tabs>
        <w:autoSpaceDE w:val="0"/>
        <w:autoSpaceDN w:val="0"/>
        <w:adjustRightInd w:val="0"/>
        <w:jc w:val="both"/>
        <w:rPr>
          <w:sz w:val="22"/>
          <w:szCs w:val="22"/>
        </w:rPr>
      </w:pPr>
      <w:r>
        <w:rPr>
          <w:sz w:val="22"/>
          <w:szCs w:val="22"/>
        </w:rPr>
        <w:t>“</w:t>
      </w:r>
      <w:r w:rsidRPr="003C435C">
        <w:rPr>
          <w:b/>
          <w:sz w:val="22"/>
          <w:szCs w:val="22"/>
        </w:rPr>
        <w:t>Preferred Stock</w:t>
      </w:r>
      <w:r>
        <w:rPr>
          <w:sz w:val="22"/>
          <w:szCs w:val="22"/>
        </w:rPr>
        <w:t xml:space="preserve">” means </w:t>
      </w:r>
      <w:r w:rsidR="001D722C">
        <w:rPr>
          <w:sz w:val="22"/>
          <w:szCs w:val="22"/>
        </w:rPr>
        <w:t>the</w:t>
      </w:r>
      <w:r>
        <w:rPr>
          <w:sz w:val="22"/>
          <w:szCs w:val="22"/>
        </w:rPr>
        <w:t xml:space="preserve"> preferred stock </w:t>
      </w:r>
      <w:r w:rsidR="001D722C">
        <w:rPr>
          <w:sz w:val="22"/>
          <w:szCs w:val="22"/>
        </w:rPr>
        <w:t>of</w:t>
      </w:r>
      <w:r>
        <w:rPr>
          <w:sz w:val="22"/>
          <w:szCs w:val="22"/>
        </w:rPr>
        <w:t xml:space="preserve"> the Company.</w:t>
      </w:r>
    </w:p>
    <w:p w14:paraId="02498110" w14:textId="77777777" w:rsidR="00E30361" w:rsidRDefault="00E30361" w:rsidP="00E30361">
      <w:pPr>
        <w:tabs>
          <w:tab w:val="left" w:pos="360"/>
        </w:tabs>
        <w:autoSpaceDE w:val="0"/>
        <w:autoSpaceDN w:val="0"/>
        <w:adjustRightInd w:val="0"/>
        <w:jc w:val="both"/>
        <w:rPr>
          <w:sz w:val="22"/>
          <w:szCs w:val="22"/>
        </w:rPr>
      </w:pPr>
      <w:r>
        <w:rPr>
          <w:sz w:val="22"/>
          <w:szCs w:val="22"/>
        </w:rPr>
        <w:t>“</w:t>
      </w:r>
      <w:r w:rsidRPr="004A4C72">
        <w:rPr>
          <w:b/>
          <w:sz w:val="22"/>
          <w:szCs w:val="22"/>
        </w:rPr>
        <w:t>Regulation CF</w:t>
      </w:r>
      <w:r>
        <w:rPr>
          <w:sz w:val="22"/>
          <w:szCs w:val="22"/>
        </w:rPr>
        <w:t>” means Regulation Crowdfunding promulgated under the Securities Act.</w:t>
      </w:r>
    </w:p>
    <w:p w14:paraId="58E8F10B" w14:textId="77777777" w:rsidR="00615A3B" w:rsidRDefault="006D30BF" w:rsidP="00E30361">
      <w:pPr>
        <w:tabs>
          <w:tab w:val="left" w:pos="360"/>
        </w:tabs>
        <w:autoSpaceDE w:val="0"/>
        <w:autoSpaceDN w:val="0"/>
        <w:adjustRightInd w:val="0"/>
        <w:jc w:val="both"/>
        <w:rPr>
          <w:sz w:val="22"/>
          <w:szCs w:val="22"/>
        </w:rPr>
      </w:pPr>
      <w:r w:rsidRPr="00E00CFC">
        <w:rPr>
          <w:sz w:val="22"/>
          <w:szCs w:val="22"/>
        </w:rPr>
        <w:t>“</w:t>
      </w:r>
      <w:r w:rsidR="00A03B36">
        <w:rPr>
          <w:b/>
          <w:sz w:val="22"/>
          <w:szCs w:val="22"/>
        </w:rPr>
        <w:t>S</w:t>
      </w:r>
      <w:r w:rsidR="00F4239E">
        <w:rPr>
          <w:b/>
          <w:sz w:val="22"/>
          <w:szCs w:val="22"/>
        </w:rPr>
        <w:t>afe</w:t>
      </w:r>
      <w:r w:rsidRPr="00E00CFC">
        <w:rPr>
          <w:sz w:val="22"/>
          <w:szCs w:val="22"/>
        </w:rPr>
        <w:t xml:space="preserve">” </w:t>
      </w:r>
      <w:r w:rsidR="009336F9" w:rsidRPr="0040545E">
        <w:rPr>
          <w:sz w:val="22"/>
          <w:szCs w:val="22"/>
        </w:rPr>
        <w:t>means any simple agreement for future equity (or other similar agreement)</w:t>
      </w:r>
      <w:r w:rsidR="00184710">
        <w:rPr>
          <w:sz w:val="22"/>
          <w:szCs w:val="22"/>
        </w:rPr>
        <w:t>,</w:t>
      </w:r>
      <w:r w:rsidR="009336F9" w:rsidRPr="0040545E">
        <w:rPr>
          <w:sz w:val="22"/>
          <w:szCs w:val="22"/>
        </w:rPr>
        <w:t xml:space="preserve"> </w:t>
      </w:r>
      <w:r w:rsidR="00184710">
        <w:rPr>
          <w:sz w:val="22"/>
          <w:szCs w:val="22"/>
        </w:rPr>
        <w:t xml:space="preserve">including </w:t>
      </w:r>
      <w:r w:rsidR="00F4239E">
        <w:rPr>
          <w:sz w:val="22"/>
          <w:szCs w:val="22"/>
        </w:rPr>
        <w:t>a</w:t>
      </w:r>
      <w:r w:rsidR="00184710">
        <w:rPr>
          <w:sz w:val="22"/>
          <w:szCs w:val="22"/>
        </w:rPr>
        <w:t xml:space="preserve"> Crowd Safe,</w:t>
      </w:r>
      <w:r w:rsidR="000313E8">
        <w:rPr>
          <w:sz w:val="22"/>
          <w:szCs w:val="22"/>
        </w:rPr>
        <w:t xml:space="preserve"> </w:t>
      </w:r>
      <w:r w:rsidR="009336F9" w:rsidRPr="0040545E">
        <w:rPr>
          <w:sz w:val="22"/>
          <w:szCs w:val="22"/>
        </w:rPr>
        <w:t>which is issued by the Company for bona fide financing purposes an</w:t>
      </w:r>
      <w:r w:rsidR="00A03B36">
        <w:rPr>
          <w:sz w:val="22"/>
          <w:szCs w:val="22"/>
        </w:rPr>
        <w:t>d</w:t>
      </w:r>
      <w:r w:rsidR="009336F9" w:rsidRPr="0040545E">
        <w:rPr>
          <w:sz w:val="22"/>
          <w:szCs w:val="22"/>
        </w:rPr>
        <w:t xml:space="preserve"> which may convert into </w:t>
      </w:r>
      <w:r w:rsidR="00813D25">
        <w:rPr>
          <w:sz w:val="22"/>
          <w:szCs w:val="22"/>
        </w:rPr>
        <w:t>C</w:t>
      </w:r>
      <w:r w:rsidR="009675BB">
        <w:rPr>
          <w:sz w:val="22"/>
          <w:szCs w:val="22"/>
        </w:rPr>
        <w:t xml:space="preserve">apital </w:t>
      </w:r>
      <w:r w:rsidR="00813D25">
        <w:rPr>
          <w:sz w:val="22"/>
          <w:szCs w:val="22"/>
        </w:rPr>
        <w:t>S</w:t>
      </w:r>
      <w:r w:rsidR="009336F9" w:rsidRPr="0040545E">
        <w:rPr>
          <w:sz w:val="22"/>
          <w:szCs w:val="22"/>
        </w:rPr>
        <w:t>tock in accordance with its terms</w:t>
      </w:r>
      <w:r w:rsidR="009336F9">
        <w:rPr>
          <w:sz w:val="22"/>
          <w:szCs w:val="22"/>
        </w:rPr>
        <w:t>.</w:t>
      </w:r>
    </w:p>
    <w:p w14:paraId="7B740F9B" w14:textId="77777777" w:rsidR="00BD4B21" w:rsidRPr="00AA775C" w:rsidRDefault="00BD4B21" w:rsidP="00615A3B">
      <w:pPr>
        <w:tabs>
          <w:tab w:val="left" w:pos="360"/>
        </w:tabs>
        <w:autoSpaceDE w:val="0"/>
        <w:autoSpaceDN w:val="0"/>
        <w:adjustRightInd w:val="0"/>
        <w:jc w:val="both"/>
        <w:rPr>
          <w:sz w:val="22"/>
          <w:szCs w:val="22"/>
        </w:rPr>
      </w:pPr>
      <w:r>
        <w:rPr>
          <w:sz w:val="22"/>
          <w:szCs w:val="22"/>
        </w:rPr>
        <w:t>“</w:t>
      </w:r>
      <w:r>
        <w:rPr>
          <w:b/>
          <w:sz w:val="22"/>
          <w:szCs w:val="22"/>
        </w:rPr>
        <w:t>Safe Price</w:t>
      </w:r>
      <w:r>
        <w:rPr>
          <w:sz w:val="22"/>
          <w:szCs w:val="22"/>
        </w:rPr>
        <w:t>” means the price per share equal to the Valuation Cap divided by the Fully Diluted Capitalization.</w:t>
      </w:r>
    </w:p>
    <w:p w14:paraId="2E87B1A2" w14:textId="77777777" w:rsidR="00BC46CD" w:rsidRPr="00E00CFC" w:rsidRDefault="00BC46CD" w:rsidP="008A2CEC">
      <w:pPr>
        <w:tabs>
          <w:tab w:val="left" w:pos="360"/>
        </w:tabs>
        <w:autoSpaceDE w:val="0"/>
        <w:autoSpaceDN w:val="0"/>
        <w:adjustRightInd w:val="0"/>
        <w:spacing w:before="0"/>
        <w:jc w:val="both"/>
        <w:rPr>
          <w:sz w:val="22"/>
          <w:szCs w:val="22"/>
        </w:rPr>
      </w:pPr>
    </w:p>
    <w:p w14:paraId="26B6654D" w14:textId="77777777" w:rsidR="00E23215" w:rsidRPr="00E00CFC" w:rsidRDefault="00F4239E" w:rsidP="00330703">
      <w:pPr>
        <w:tabs>
          <w:tab w:val="left" w:pos="360"/>
        </w:tabs>
        <w:autoSpaceDE w:val="0"/>
        <w:autoSpaceDN w:val="0"/>
        <w:adjustRightInd w:val="0"/>
        <w:spacing w:before="0"/>
        <w:ind w:firstLine="0"/>
        <w:jc w:val="both"/>
        <w:outlineLvl w:val="0"/>
        <w:rPr>
          <w:b/>
          <w:i/>
          <w:sz w:val="22"/>
          <w:szCs w:val="22"/>
        </w:rPr>
      </w:pPr>
      <w:r>
        <w:rPr>
          <w:b/>
          <w:sz w:val="22"/>
          <w:szCs w:val="22"/>
        </w:rPr>
        <w:t>3</w:t>
      </w:r>
      <w:r w:rsidR="00991306" w:rsidRPr="005714A0">
        <w:rPr>
          <w:b/>
          <w:sz w:val="22"/>
          <w:szCs w:val="22"/>
        </w:rPr>
        <w:t>.</w:t>
      </w:r>
      <w:r w:rsidR="008A2CEC" w:rsidRPr="00E00CFC">
        <w:rPr>
          <w:sz w:val="22"/>
          <w:szCs w:val="22"/>
        </w:rPr>
        <w:t xml:space="preserve">  </w:t>
      </w:r>
      <w:r w:rsidR="00D00425" w:rsidRPr="00E00CFC">
        <w:rPr>
          <w:b/>
          <w:i/>
          <w:sz w:val="22"/>
          <w:szCs w:val="22"/>
        </w:rPr>
        <w:t>Company Representations</w:t>
      </w:r>
    </w:p>
    <w:p w14:paraId="3E58FF75" w14:textId="77777777" w:rsidR="00D00425" w:rsidRPr="00E00CFC" w:rsidRDefault="00D00425"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Company is a corporation duly </w:t>
      </w:r>
      <w:r w:rsidR="00635E29">
        <w:rPr>
          <w:sz w:val="22"/>
          <w:szCs w:val="22"/>
        </w:rPr>
        <w:t>incorporated</w:t>
      </w:r>
      <w:r w:rsidRPr="00E00CFC">
        <w:rPr>
          <w:sz w:val="22"/>
          <w:szCs w:val="22"/>
        </w:rPr>
        <w:t>, validly existing and in good standing under the laws of the state of its incorporation, and has the power and authority to own, lease and operate its properties and carry on its business as now conducted.</w:t>
      </w:r>
    </w:p>
    <w:p w14:paraId="774D0617" w14:textId="4D96390B" w:rsidR="003D010D" w:rsidRPr="00E00CFC" w:rsidRDefault="003D010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execution, delivery and performance by the Company of this </w:t>
      </w:r>
      <w:r w:rsidR="00A447CA" w:rsidRPr="00E00CFC">
        <w:rPr>
          <w:sz w:val="22"/>
          <w:szCs w:val="22"/>
        </w:rPr>
        <w:t>instrument</w:t>
      </w:r>
      <w:r w:rsidRPr="00E00CFC">
        <w:rPr>
          <w:sz w:val="22"/>
          <w:szCs w:val="22"/>
        </w:rPr>
        <w:t xml:space="preserve"> is within the power of the Company and, other than with respect to the actions to be taken </w:t>
      </w:r>
      <w:r w:rsidR="00584237" w:rsidRPr="00E00CFC">
        <w:rPr>
          <w:sz w:val="22"/>
          <w:szCs w:val="22"/>
        </w:rPr>
        <w:t>when equity is to be issued to the Investor</w:t>
      </w:r>
      <w:r w:rsidRPr="00E00CFC">
        <w:rPr>
          <w:sz w:val="22"/>
          <w:szCs w:val="22"/>
        </w:rPr>
        <w:t>, has been duly authorized by all necessary actions</w:t>
      </w:r>
      <w:r w:rsidR="00584237" w:rsidRPr="00E00CFC">
        <w:rPr>
          <w:sz w:val="22"/>
          <w:szCs w:val="22"/>
        </w:rPr>
        <w:t xml:space="preserve"> on the part of the Company.</w:t>
      </w:r>
      <w:r w:rsidR="008A02B9">
        <w:rPr>
          <w:sz w:val="22"/>
          <w:szCs w:val="22"/>
        </w:rPr>
        <w:t xml:space="preserve"> </w:t>
      </w:r>
      <w:r w:rsidR="00584237" w:rsidRPr="00E00CFC">
        <w:rPr>
          <w:sz w:val="22"/>
          <w:szCs w:val="22"/>
        </w:rPr>
        <w:t xml:space="preserve"> This</w:t>
      </w:r>
      <w:r w:rsidRPr="00E00CFC">
        <w:rPr>
          <w:sz w:val="22"/>
          <w:szCs w:val="22"/>
        </w:rPr>
        <w:t xml:space="preserve"> </w:t>
      </w:r>
      <w:r w:rsidR="00A447CA" w:rsidRPr="00E00CFC">
        <w:rPr>
          <w:sz w:val="22"/>
          <w:szCs w:val="22"/>
        </w:rPr>
        <w:t>instrument</w:t>
      </w:r>
      <w:r w:rsidRPr="00E00CFC">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E00CFC">
        <w:rPr>
          <w:sz w:val="22"/>
          <w:szCs w:val="22"/>
        </w:rPr>
        <w:t>i</w:t>
      </w:r>
      <w:proofErr w:type="spellEnd"/>
      <w:r w:rsidRPr="00E00CFC">
        <w:rPr>
          <w:sz w:val="22"/>
          <w:szCs w:val="22"/>
        </w:rPr>
        <w:t xml:space="preserve">) its current </w:t>
      </w:r>
      <w:r w:rsidR="00823F02">
        <w:rPr>
          <w:sz w:val="22"/>
          <w:szCs w:val="22"/>
        </w:rPr>
        <w:t>charter</w:t>
      </w:r>
      <w:r w:rsidR="00564EBD">
        <w:rPr>
          <w:sz w:val="22"/>
          <w:szCs w:val="22"/>
        </w:rPr>
        <w:t xml:space="preserve"> or bylaws;</w:t>
      </w:r>
      <w:r w:rsidRPr="00E00CFC">
        <w:rPr>
          <w:sz w:val="22"/>
          <w:szCs w:val="22"/>
        </w:rPr>
        <w:t xml:space="preserve"> (ii) any material statute, rule or regulation applicable to the Company</w:t>
      </w:r>
      <w:r w:rsidR="00564EBD">
        <w:rPr>
          <w:sz w:val="22"/>
          <w:szCs w:val="22"/>
        </w:rPr>
        <w:t>;</w:t>
      </w:r>
      <w:r w:rsidRPr="00E00CF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60EF9158" w14:textId="77777777" w:rsidR="003D010D" w:rsidRPr="00E00CFC" w:rsidRDefault="003D010D"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t>The performance and consummation of the t</w:t>
      </w:r>
      <w:r w:rsidR="00A447CA" w:rsidRPr="00E00CFC">
        <w:rPr>
          <w:sz w:val="22"/>
          <w:szCs w:val="22"/>
        </w:rPr>
        <w:t xml:space="preserve">ransactions contemplated by this instrument </w:t>
      </w:r>
      <w:r w:rsidRPr="00E00CFC">
        <w:rPr>
          <w:sz w:val="22"/>
          <w:szCs w:val="22"/>
        </w:rPr>
        <w:t>do no</w:t>
      </w:r>
      <w:r w:rsidR="00C84293" w:rsidRPr="00E00CFC">
        <w:rPr>
          <w:sz w:val="22"/>
          <w:szCs w:val="22"/>
        </w:rPr>
        <w:t>t and will not: (</w:t>
      </w:r>
      <w:proofErr w:type="spellStart"/>
      <w:r w:rsidR="00C84293" w:rsidRPr="00E00CFC">
        <w:rPr>
          <w:sz w:val="22"/>
          <w:szCs w:val="22"/>
        </w:rPr>
        <w:t>i</w:t>
      </w:r>
      <w:proofErr w:type="spellEnd"/>
      <w:r w:rsidR="00C84293" w:rsidRPr="00E00CFC">
        <w:rPr>
          <w:sz w:val="22"/>
          <w:szCs w:val="22"/>
        </w:rPr>
        <w:t xml:space="preserve">) violate </w:t>
      </w:r>
      <w:r w:rsidRPr="00E00CFC">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61A7D9DF" w14:textId="77777777" w:rsidR="003D010D" w:rsidRDefault="003D010D" w:rsidP="008A2CEC">
      <w:pPr>
        <w:tabs>
          <w:tab w:val="left" w:pos="360"/>
        </w:tabs>
        <w:autoSpaceDE w:val="0"/>
        <w:autoSpaceDN w:val="0"/>
        <w:adjustRightInd w:val="0"/>
        <w:jc w:val="both"/>
        <w:rPr>
          <w:sz w:val="22"/>
          <w:szCs w:val="22"/>
        </w:rPr>
      </w:pPr>
      <w:r w:rsidRPr="00E00CFC">
        <w:rPr>
          <w:sz w:val="22"/>
          <w:szCs w:val="22"/>
        </w:rPr>
        <w:t>(d)</w:t>
      </w:r>
      <w:r w:rsidRPr="00E00CFC">
        <w:rPr>
          <w:sz w:val="22"/>
          <w:szCs w:val="22"/>
        </w:rPr>
        <w:tab/>
      </w:r>
      <w:r w:rsidR="006A4392" w:rsidRPr="00E00CFC">
        <w:rPr>
          <w:sz w:val="22"/>
          <w:szCs w:val="22"/>
        </w:rPr>
        <w:t>No consents or approvals are required in connection with the performance of this instrument, other than: (</w:t>
      </w:r>
      <w:proofErr w:type="spellStart"/>
      <w:r w:rsidR="006A4392" w:rsidRPr="00E00CFC">
        <w:rPr>
          <w:sz w:val="22"/>
          <w:szCs w:val="22"/>
        </w:rPr>
        <w:t>i</w:t>
      </w:r>
      <w:proofErr w:type="spellEnd"/>
      <w:r w:rsidR="006A4392" w:rsidRPr="00E00CFC">
        <w:rPr>
          <w:sz w:val="22"/>
          <w:szCs w:val="22"/>
        </w:rPr>
        <w:t xml:space="preserve">) the Company’s corporate approvals; (ii) any qualifications or filings under applicable securities laws; and (iii) necessary corporate approvals for the authorization of </w:t>
      </w:r>
      <w:r w:rsidR="00BC6DC3">
        <w:rPr>
          <w:sz w:val="22"/>
          <w:szCs w:val="22"/>
        </w:rPr>
        <w:t xml:space="preserve">shares of </w:t>
      </w:r>
      <w:r w:rsidR="001B5D27">
        <w:rPr>
          <w:sz w:val="22"/>
          <w:szCs w:val="22"/>
        </w:rPr>
        <w:t xml:space="preserve">CF </w:t>
      </w:r>
      <w:r w:rsidR="00BC6DC3">
        <w:rPr>
          <w:sz w:val="22"/>
          <w:szCs w:val="22"/>
        </w:rPr>
        <w:t>Shadow Series</w:t>
      </w:r>
      <w:r w:rsidR="006A4392" w:rsidRPr="00E00CFC">
        <w:rPr>
          <w:sz w:val="22"/>
          <w:szCs w:val="22"/>
        </w:rPr>
        <w:t xml:space="preserve"> issuable pursuant to Section 1</w:t>
      </w:r>
      <w:r w:rsidRPr="00E00CFC">
        <w:rPr>
          <w:sz w:val="22"/>
          <w:szCs w:val="22"/>
        </w:rPr>
        <w:t>.</w:t>
      </w:r>
    </w:p>
    <w:p w14:paraId="5CA47D3B" w14:textId="4D5FC6AD" w:rsidR="00D00425" w:rsidRPr="00A3764A" w:rsidRDefault="00051AA5" w:rsidP="00A3764A">
      <w:pPr>
        <w:tabs>
          <w:tab w:val="left" w:pos="360"/>
        </w:tabs>
        <w:autoSpaceDE w:val="0"/>
        <w:autoSpaceDN w:val="0"/>
        <w:adjustRightInd w:val="0"/>
        <w:spacing w:after="240"/>
        <w:jc w:val="both"/>
        <w:rPr>
          <w:sz w:val="22"/>
          <w:szCs w:val="22"/>
        </w:rPr>
      </w:pPr>
      <w:r w:rsidRPr="0040545E">
        <w:rPr>
          <w:sz w:val="22"/>
          <w:szCs w:val="22"/>
        </w:rPr>
        <w:t>(e)</w:t>
      </w:r>
      <w:r w:rsidRPr="0040545E">
        <w:rPr>
          <w:sz w:val="22"/>
          <w:szCs w:val="22"/>
        </w:rPr>
        <w:tab/>
        <w:t>The Company shall, prior to the</w:t>
      </w:r>
      <w:r w:rsidRPr="0040545E">
        <w:rPr>
          <w:spacing w:val="11"/>
          <w:sz w:val="22"/>
          <w:szCs w:val="22"/>
        </w:rPr>
        <w:t xml:space="preserve"> </w:t>
      </w:r>
      <w:r>
        <w:rPr>
          <w:sz w:val="22"/>
          <w:szCs w:val="22"/>
        </w:rPr>
        <w:t>conversion of this instrument</w:t>
      </w:r>
      <w:r w:rsidRPr="0040545E">
        <w:rPr>
          <w:sz w:val="22"/>
          <w:szCs w:val="22"/>
        </w:rPr>
        <w:t xml:space="preserve">, reserve from its authorized but unissued shares of </w:t>
      </w:r>
      <w:r w:rsidR="00813D25">
        <w:rPr>
          <w:sz w:val="22"/>
          <w:szCs w:val="22"/>
        </w:rPr>
        <w:t>Capital S</w:t>
      </w:r>
      <w:r w:rsidRPr="0040545E">
        <w:rPr>
          <w:sz w:val="22"/>
          <w:szCs w:val="22"/>
        </w:rPr>
        <w:t>tock for issuance</w:t>
      </w:r>
      <w:r w:rsidRPr="0040545E">
        <w:rPr>
          <w:spacing w:val="39"/>
          <w:sz w:val="22"/>
          <w:szCs w:val="22"/>
        </w:rPr>
        <w:t xml:space="preserve"> </w:t>
      </w:r>
      <w:r w:rsidRPr="0040545E">
        <w:rPr>
          <w:sz w:val="22"/>
          <w:szCs w:val="22"/>
        </w:rPr>
        <w:t>and delivery upon the conversion of th</w:t>
      </w:r>
      <w:r w:rsidR="00635E29">
        <w:rPr>
          <w:sz w:val="22"/>
          <w:szCs w:val="22"/>
        </w:rPr>
        <w:t>is</w:t>
      </w:r>
      <w:r w:rsidRPr="0040545E">
        <w:rPr>
          <w:sz w:val="22"/>
          <w:szCs w:val="22"/>
        </w:rPr>
        <w:t xml:space="preserve"> </w:t>
      </w:r>
      <w:r w:rsidR="00635E29">
        <w:rPr>
          <w:sz w:val="22"/>
          <w:szCs w:val="22"/>
        </w:rPr>
        <w:t>instrument</w:t>
      </w:r>
      <w:r w:rsidRPr="0040545E">
        <w:rPr>
          <w:sz w:val="22"/>
          <w:szCs w:val="22"/>
        </w:rPr>
        <w:t xml:space="preserve">, such number of </w:t>
      </w:r>
      <w:r w:rsidR="00635E29">
        <w:rPr>
          <w:sz w:val="22"/>
          <w:szCs w:val="22"/>
        </w:rPr>
        <w:t xml:space="preserve">shares of </w:t>
      </w:r>
      <w:r w:rsidR="00184710">
        <w:rPr>
          <w:sz w:val="22"/>
          <w:szCs w:val="22"/>
        </w:rPr>
        <w:t xml:space="preserve">the </w:t>
      </w:r>
      <w:r w:rsidRPr="0040545E">
        <w:rPr>
          <w:sz w:val="22"/>
          <w:szCs w:val="22"/>
        </w:rPr>
        <w:t xml:space="preserve">CF </w:t>
      </w:r>
      <w:r w:rsidR="00184710">
        <w:rPr>
          <w:sz w:val="22"/>
          <w:szCs w:val="22"/>
        </w:rPr>
        <w:t>Shadow Series</w:t>
      </w:r>
      <w:r w:rsidRPr="0040545E">
        <w:rPr>
          <w:sz w:val="22"/>
          <w:szCs w:val="22"/>
        </w:rPr>
        <w:t>,</w:t>
      </w:r>
      <w:r w:rsidRPr="0040545E">
        <w:rPr>
          <w:spacing w:val="46"/>
          <w:sz w:val="22"/>
          <w:szCs w:val="22"/>
        </w:rPr>
        <w:t xml:space="preserve"> </w:t>
      </w:r>
      <w:r w:rsidRPr="0040545E">
        <w:rPr>
          <w:sz w:val="22"/>
          <w:szCs w:val="22"/>
        </w:rPr>
        <w:t>and,</w:t>
      </w:r>
      <w:r w:rsidRPr="0040545E">
        <w:rPr>
          <w:spacing w:val="46"/>
          <w:sz w:val="22"/>
          <w:szCs w:val="22"/>
        </w:rPr>
        <w:t xml:space="preserve"> </w:t>
      </w:r>
      <w:r w:rsidRPr="0040545E">
        <w:rPr>
          <w:sz w:val="22"/>
          <w:szCs w:val="22"/>
        </w:rPr>
        <w:t>from</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will</w:t>
      </w:r>
      <w:r w:rsidRPr="0040545E">
        <w:rPr>
          <w:spacing w:val="46"/>
          <w:sz w:val="22"/>
          <w:szCs w:val="22"/>
        </w:rPr>
        <w:t xml:space="preserve"> </w:t>
      </w:r>
      <w:r w:rsidRPr="0040545E">
        <w:rPr>
          <w:sz w:val="22"/>
          <w:szCs w:val="22"/>
        </w:rPr>
        <w:t>take</w:t>
      </w:r>
      <w:r w:rsidRPr="0040545E">
        <w:rPr>
          <w:spacing w:val="46"/>
          <w:sz w:val="22"/>
          <w:szCs w:val="22"/>
        </w:rPr>
        <w:t xml:space="preserve"> </w:t>
      </w:r>
      <w:r w:rsidRPr="0040545E">
        <w:rPr>
          <w:sz w:val="22"/>
          <w:szCs w:val="22"/>
        </w:rPr>
        <w:t>all</w:t>
      </w:r>
      <w:r w:rsidRPr="0040545E">
        <w:rPr>
          <w:spacing w:val="46"/>
          <w:sz w:val="22"/>
          <w:szCs w:val="22"/>
        </w:rPr>
        <w:t xml:space="preserve"> </w:t>
      </w:r>
      <w:r w:rsidRPr="0040545E">
        <w:rPr>
          <w:sz w:val="22"/>
          <w:szCs w:val="22"/>
        </w:rPr>
        <w:t>steps</w:t>
      </w:r>
      <w:r w:rsidRPr="0040545E">
        <w:rPr>
          <w:spacing w:val="46"/>
          <w:sz w:val="22"/>
          <w:szCs w:val="22"/>
        </w:rPr>
        <w:t xml:space="preserve"> </w:t>
      </w:r>
      <w:r w:rsidRPr="0040545E">
        <w:rPr>
          <w:sz w:val="22"/>
          <w:szCs w:val="22"/>
        </w:rPr>
        <w:t>necessary</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amend</w:t>
      </w:r>
      <w:r w:rsidRPr="0040545E">
        <w:rPr>
          <w:spacing w:val="46"/>
          <w:sz w:val="22"/>
          <w:szCs w:val="22"/>
        </w:rPr>
        <w:t xml:space="preserve"> </w:t>
      </w:r>
      <w:r w:rsidRPr="0040545E">
        <w:rPr>
          <w:sz w:val="22"/>
          <w:szCs w:val="22"/>
        </w:rPr>
        <w:t>its</w:t>
      </w:r>
      <w:r w:rsidRPr="0040545E">
        <w:rPr>
          <w:spacing w:val="46"/>
          <w:sz w:val="22"/>
          <w:szCs w:val="22"/>
        </w:rPr>
        <w:t xml:space="preserve"> </w:t>
      </w:r>
      <w:r w:rsidR="00823F02">
        <w:rPr>
          <w:sz w:val="22"/>
          <w:szCs w:val="22"/>
        </w:rPr>
        <w:t>charter</w:t>
      </w:r>
      <w:r w:rsidRPr="0040545E">
        <w:rPr>
          <w:sz w:val="22"/>
          <w:szCs w:val="22"/>
        </w:rPr>
        <w:t xml:space="preserve"> to provide sufficient authorized numbers of </w:t>
      </w:r>
      <w:r w:rsidR="00184710">
        <w:rPr>
          <w:sz w:val="22"/>
          <w:szCs w:val="22"/>
        </w:rPr>
        <w:t xml:space="preserve">shares of the </w:t>
      </w:r>
      <w:r w:rsidR="00635E29">
        <w:rPr>
          <w:sz w:val="22"/>
          <w:szCs w:val="22"/>
        </w:rPr>
        <w:t xml:space="preserve">CF </w:t>
      </w:r>
      <w:r w:rsidR="00184710">
        <w:rPr>
          <w:sz w:val="22"/>
          <w:szCs w:val="22"/>
        </w:rPr>
        <w:t xml:space="preserve">Shadow Series </w:t>
      </w:r>
      <w:r w:rsidRPr="0040545E">
        <w:rPr>
          <w:sz w:val="22"/>
          <w:szCs w:val="22"/>
        </w:rPr>
        <w:t xml:space="preserve">issuable </w:t>
      </w:r>
      <w:r w:rsidR="00635E29">
        <w:rPr>
          <w:sz w:val="22"/>
          <w:szCs w:val="22"/>
        </w:rPr>
        <w:t>upon the conversion of this instrument</w:t>
      </w:r>
      <w:r w:rsidRPr="0040545E">
        <w:rPr>
          <w:sz w:val="22"/>
          <w:szCs w:val="22"/>
        </w:rPr>
        <w:t xml:space="preserve">. </w:t>
      </w:r>
      <w:r w:rsidR="008A02B9">
        <w:rPr>
          <w:sz w:val="22"/>
          <w:szCs w:val="22"/>
        </w:rPr>
        <w:t xml:space="preserve"> </w:t>
      </w:r>
      <w:r w:rsidRPr="0040545E">
        <w:rPr>
          <w:sz w:val="22"/>
          <w:szCs w:val="22"/>
        </w:rPr>
        <w:t>All such shares shall</w:t>
      </w:r>
      <w:r w:rsidRPr="0040545E">
        <w:rPr>
          <w:spacing w:val="47"/>
          <w:sz w:val="22"/>
          <w:szCs w:val="22"/>
        </w:rPr>
        <w:t xml:space="preserve"> </w:t>
      </w:r>
      <w:r w:rsidRPr="0040545E">
        <w:rPr>
          <w:sz w:val="22"/>
          <w:szCs w:val="22"/>
        </w:rPr>
        <w:t>be</w:t>
      </w:r>
      <w:r w:rsidRPr="0040545E">
        <w:rPr>
          <w:w w:val="99"/>
          <w:sz w:val="22"/>
          <w:szCs w:val="22"/>
        </w:rPr>
        <w:t xml:space="preserve"> </w:t>
      </w:r>
      <w:r w:rsidRPr="0040545E">
        <w:rPr>
          <w:sz w:val="22"/>
          <w:szCs w:val="22"/>
        </w:rPr>
        <w:t>duly</w:t>
      </w:r>
      <w:r w:rsidRPr="0040545E">
        <w:rPr>
          <w:spacing w:val="20"/>
          <w:sz w:val="22"/>
          <w:szCs w:val="22"/>
        </w:rPr>
        <w:t xml:space="preserve"> </w:t>
      </w:r>
      <w:r w:rsidRPr="0040545E">
        <w:rPr>
          <w:sz w:val="22"/>
          <w:szCs w:val="22"/>
        </w:rPr>
        <w:t>authorized,</w:t>
      </w:r>
      <w:r w:rsidRPr="0040545E">
        <w:rPr>
          <w:spacing w:val="20"/>
          <w:sz w:val="22"/>
          <w:szCs w:val="22"/>
        </w:rPr>
        <w:t xml:space="preserve"> </w:t>
      </w:r>
      <w:r w:rsidRPr="0040545E">
        <w:rPr>
          <w:sz w:val="22"/>
          <w:szCs w:val="22"/>
        </w:rPr>
        <w:t>and</w:t>
      </w:r>
      <w:r w:rsidRPr="0040545E">
        <w:rPr>
          <w:spacing w:val="20"/>
          <w:sz w:val="22"/>
          <w:szCs w:val="22"/>
        </w:rPr>
        <w:t xml:space="preserve"> </w:t>
      </w:r>
      <w:r w:rsidRPr="0040545E">
        <w:rPr>
          <w:sz w:val="22"/>
          <w:szCs w:val="22"/>
        </w:rPr>
        <w:t>when</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upon</w:t>
      </w:r>
      <w:r w:rsidRPr="0040545E">
        <w:rPr>
          <w:spacing w:val="20"/>
          <w:sz w:val="22"/>
          <w:szCs w:val="22"/>
        </w:rPr>
        <w:t xml:space="preserve"> </w:t>
      </w:r>
      <w:r w:rsidRPr="0040545E">
        <w:rPr>
          <w:sz w:val="22"/>
          <w:szCs w:val="22"/>
        </w:rPr>
        <w:t>any</w:t>
      </w:r>
      <w:r w:rsidRPr="0040545E">
        <w:rPr>
          <w:spacing w:val="20"/>
          <w:sz w:val="22"/>
          <w:szCs w:val="22"/>
        </w:rPr>
        <w:t xml:space="preserve"> </w:t>
      </w:r>
      <w:r w:rsidRPr="0040545E">
        <w:rPr>
          <w:sz w:val="22"/>
          <w:szCs w:val="22"/>
        </w:rPr>
        <w:t>such</w:t>
      </w:r>
      <w:r w:rsidRPr="0040545E">
        <w:rPr>
          <w:spacing w:val="20"/>
          <w:sz w:val="22"/>
          <w:szCs w:val="22"/>
        </w:rPr>
        <w:t xml:space="preserve"> </w:t>
      </w:r>
      <w:r w:rsidRPr="0040545E">
        <w:rPr>
          <w:sz w:val="22"/>
          <w:szCs w:val="22"/>
        </w:rPr>
        <w:t>conversion,</w:t>
      </w:r>
      <w:r w:rsidRPr="0040545E">
        <w:rPr>
          <w:spacing w:val="20"/>
          <w:sz w:val="22"/>
          <w:szCs w:val="22"/>
        </w:rPr>
        <w:t xml:space="preserve"> </w:t>
      </w:r>
      <w:r w:rsidRPr="0040545E">
        <w:rPr>
          <w:sz w:val="22"/>
          <w:szCs w:val="22"/>
        </w:rPr>
        <w:t>shall</w:t>
      </w:r>
      <w:r w:rsidRPr="0040545E">
        <w:rPr>
          <w:spacing w:val="20"/>
          <w:sz w:val="22"/>
          <w:szCs w:val="22"/>
        </w:rPr>
        <w:t xml:space="preserve"> </w:t>
      </w:r>
      <w:r w:rsidRPr="0040545E">
        <w:rPr>
          <w:sz w:val="22"/>
          <w:szCs w:val="22"/>
        </w:rPr>
        <w:t>be</w:t>
      </w:r>
      <w:r w:rsidRPr="0040545E">
        <w:rPr>
          <w:spacing w:val="20"/>
          <w:sz w:val="22"/>
          <w:szCs w:val="22"/>
        </w:rPr>
        <w:t xml:space="preserve"> </w:t>
      </w:r>
      <w:r w:rsidRPr="0040545E">
        <w:rPr>
          <w:sz w:val="22"/>
          <w:szCs w:val="22"/>
        </w:rPr>
        <w:t>validly</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fully</w:t>
      </w:r>
      <w:r w:rsidRPr="0040545E">
        <w:rPr>
          <w:spacing w:val="20"/>
          <w:sz w:val="22"/>
          <w:szCs w:val="22"/>
        </w:rPr>
        <w:t xml:space="preserve"> </w:t>
      </w:r>
      <w:r w:rsidRPr="0040545E">
        <w:rPr>
          <w:sz w:val="22"/>
          <w:szCs w:val="22"/>
        </w:rPr>
        <w:t>paid and non-assessable, free and clear of all liens, security interests, charges and other</w:t>
      </w:r>
      <w:r w:rsidRPr="0040545E">
        <w:rPr>
          <w:spacing w:val="37"/>
          <w:sz w:val="22"/>
          <w:szCs w:val="22"/>
        </w:rPr>
        <w:t xml:space="preserve"> </w:t>
      </w:r>
      <w:r w:rsidRPr="0040545E">
        <w:rPr>
          <w:sz w:val="22"/>
          <w:szCs w:val="22"/>
        </w:rPr>
        <w:t>encumbrances or restrictions on sale and free and clear of all preemptive rights, except encumbrances</w:t>
      </w:r>
      <w:r w:rsidRPr="0040545E">
        <w:rPr>
          <w:spacing w:val="-11"/>
          <w:sz w:val="22"/>
          <w:szCs w:val="22"/>
        </w:rPr>
        <w:t xml:space="preserve"> </w:t>
      </w:r>
      <w:r w:rsidRPr="0040545E">
        <w:rPr>
          <w:sz w:val="22"/>
          <w:szCs w:val="22"/>
        </w:rPr>
        <w:t>or restrictions arising under federal or state securities</w:t>
      </w:r>
      <w:r w:rsidRPr="0040545E">
        <w:rPr>
          <w:spacing w:val="-1"/>
          <w:sz w:val="22"/>
          <w:szCs w:val="22"/>
        </w:rPr>
        <w:t xml:space="preserve"> </w:t>
      </w:r>
      <w:r w:rsidRPr="0040545E">
        <w:rPr>
          <w:sz w:val="22"/>
          <w:szCs w:val="22"/>
        </w:rPr>
        <w:t>laws.</w:t>
      </w:r>
    </w:p>
    <w:p w14:paraId="2D65249D" w14:textId="77777777" w:rsidR="00D00425" w:rsidRPr="00E00CFC" w:rsidRDefault="00F4239E" w:rsidP="00330703">
      <w:pPr>
        <w:tabs>
          <w:tab w:val="left" w:pos="360"/>
        </w:tabs>
        <w:autoSpaceDE w:val="0"/>
        <w:autoSpaceDN w:val="0"/>
        <w:adjustRightInd w:val="0"/>
        <w:spacing w:before="0"/>
        <w:ind w:firstLine="0"/>
        <w:jc w:val="both"/>
        <w:outlineLvl w:val="0"/>
        <w:rPr>
          <w:sz w:val="22"/>
          <w:szCs w:val="22"/>
        </w:rPr>
      </w:pPr>
      <w:r>
        <w:rPr>
          <w:b/>
          <w:sz w:val="22"/>
          <w:szCs w:val="22"/>
        </w:rPr>
        <w:t>4</w:t>
      </w:r>
      <w:r w:rsidR="007C29F3" w:rsidRPr="005714A0">
        <w:rPr>
          <w:b/>
          <w:sz w:val="22"/>
          <w:szCs w:val="22"/>
        </w:rPr>
        <w:t>.</w:t>
      </w:r>
      <w:r w:rsidR="008A2CEC" w:rsidRPr="00E00CFC">
        <w:rPr>
          <w:sz w:val="22"/>
          <w:szCs w:val="22"/>
        </w:rPr>
        <w:t xml:space="preserve">  </w:t>
      </w:r>
      <w:r w:rsidR="008C2626" w:rsidRPr="00E00CFC">
        <w:rPr>
          <w:b/>
          <w:i/>
          <w:sz w:val="22"/>
          <w:szCs w:val="22"/>
        </w:rPr>
        <w:t>Investor</w:t>
      </w:r>
      <w:r w:rsidR="007C29F3" w:rsidRPr="00E00CFC">
        <w:rPr>
          <w:b/>
          <w:i/>
          <w:sz w:val="22"/>
          <w:szCs w:val="22"/>
        </w:rPr>
        <w:t xml:space="preserve"> Representations</w:t>
      </w:r>
    </w:p>
    <w:p w14:paraId="1C3A6F42" w14:textId="77777777" w:rsidR="0094024D" w:rsidRPr="00E00CFC" w:rsidRDefault="0094024D"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w:t>
      </w:r>
      <w:r w:rsidR="008C2626" w:rsidRPr="00E00CFC">
        <w:rPr>
          <w:sz w:val="22"/>
          <w:szCs w:val="22"/>
        </w:rPr>
        <w:t>Investor</w:t>
      </w:r>
      <w:r w:rsidRPr="00E00CFC">
        <w:rPr>
          <w:sz w:val="22"/>
          <w:szCs w:val="22"/>
        </w:rPr>
        <w:t xml:space="preserve"> has full legal capacity, power and authority to execute and deliver this </w:t>
      </w:r>
      <w:r w:rsidR="00CF66F8" w:rsidRPr="00E00CFC">
        <w:rPr>
          <w:sz w:val="22"/>
          <w:szCs w:val="22"/>
        </w:rPr>
        <w:t>instrument</w:t>
      </w:r>
      <w:r w:rsidRPr="00E00CFC">
        <w:rPr>
          <w:sz w:val="22"/>
          <w:szCs w:val="22"/>
        </w:rPr>
        <w:t xml:space="preserve"> and to perform its obl</w:t>
      </w:r>
      <w:r w:rsidR="00CF66F8" w:rsidRPr="00E00CFC">
        <w:rPr>
          <w:sz w:val="22"/>
          <w:szCs w:val="22"/>
        </w:rPr>
        <w:t>igations hereunder.</w:t>
      </w:r>
      <w:r w:rsidR="008A02B9">
        <w:rPr>
          <w:sz w:val="22"/>
          <w:szCs w:val="22"/>
        </w:rPr>
        <w:t xml:space="preserve"> </w:t>
      </w:r>
      <w:r w:rsidR="00CF66F8" w:rsidRPr="00E00CFC">
        <w:rPr>
          <w:sz w:val="22"/>
          <w:szCs w:val="22"/>
        </w:rPr>
        <w:t xml:space="preserve"> This instrument</w:t>
      </w:r>
      <w:r w:rsidRPr="00E00CFC">
        <w:rPr>
          <w:sz w:val="22"/>
          <w:szCs w:val="22"/>
        </w:rPr>
        <w:t xml:space="preserve"> constitutes </w:t>
      </w:r>
      <w:r w:rsidR="00AB3466">
        <w:rPr>
          <w:sz w:val="22"/>
          <w:szCs w:val="22"/>
        </w:rPr>
        <w:t xml:space="preserve">a </w:t>
      </w:r>
      <w:r w:rsidRPr="00E00CFC">
        <w:rPr>
          <w:sz w:val="22"/>
          <w:szCs w:val="22"/>
        </w:rPr>
        <w:t xml:space="preserve">valid and binding obligation of the </w:t>
      </w:r>
      <w:r w:rsidR="008C2626" w:rsidRPr="00E00CFC">
        <w:rPr>
          <w:sz w:val="22"/>
          <w:szCs w:val="22"/>
        </w:rPr>
        <w:t>Investor</w:t>
      </w:r>
      <w:r w:rsidRPr="00E00CFC">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08CAF0C0" w14:textId="10FA6E24" w:rsidR="00FF76BC" w:rsidRPr="00E00CFC" w:rsidRDefault="0094024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r>
      <w:r w:rsidR="00E30361" w:rsidRPr="00E00CFC">
        <w:rPr>
          <w:sz w:val="22"/>
          <w:szCs w:val="22"/>
        </w:rPr>
        <w:t xml:space="preserve">The Investor has been advised that this instrument and the underlying securities have not been registered under the Securities Act or any state securities laws and are offered and sold hereby pursuant </w:t>
      </w:r>
      <w:r w:rsidR="00E30361">
        <w:rPr>
          <w:sz w:val="22"/>
          <w:szCs w:val="22"/>
        </w:rPr>
        <w:t xml:space="preserve">to </w:t>
      </w:r>
      <w:r w:rsidR="00E30361" w:rsidRPr="00E00CFC">
        <w:rPr>
          <w:sz w:val="22"/>
          <w:szCs w:val="22"/>
        </w:rPr>
        <w:t>Section 4(a)(6) of the Securities Act</w:t>
      </w:r>
      <w:r w:rsidR="00E30361">
        <w:rPr>
          <w:sz w:val="22"/>
          <w:szCs w:val="22"/>
        </w:rPr>
        <w:t>.  The Investor understands that neither</w:t>
      </w:r>
      <w:r w:rsidR="00E30361" w:rsidRPr="00E00CFC">
        <w:rPr>
          <w:sz w:val="22"/>
          <w:szCs w:val="22"/>
        </w:rPr>
        <w:t xml:space="preserve"> th</w:t>
      </w:r>
      <w:r w:rsidR="00E30361">
        <w:rPr>
          <w:sz w:val="22"/>
          <w:szCs w:val="22"/>
        </w:rPr>
        <w:t>is</w:t>
      </w:r>
      <w:r w:rsidR="00E30361" w:rsidRPr="00E00CFC">
        <w:rPr>
          <w:sz w:val="22"/>
          <w:szCs w:val="22"/>
        </w:rPr>
        <w:t xml:space="preserve"> instrument </w:t>
      </w:r>
      <w:r w:rsidR="00E30361">
        <w:rPr>
          <w:sz w:val="22"/>
          <w:szCs w:val="22"/>
        </w:rPr>
        <w:t>nor</w:t>
      </w:r>
      <w:r w:rsidR="00E30361" w:rsidRPr="00E00CFC">
        <w:rPr>
          <w:sz w:val="22"/>
          <w:szCs w:val="22"/>
        </w:rPr>
        <w:t xml:space="preserve"> the underlying securities </w:t>
      </w:r>
      <w:r w:rsidR="00E30361">
        <w:rPr>
          <w:sz w:val="22"/>
          <w:szCs w:val="22"/>
        </w:rPr>
        <w:t xml:space="preserve">may </w:t>
      </w:r>
      <w:r w:rsidR="00E30361" w:rsidRPr="00E00CFC">
        <w:rPr>
          <w:sz w:val="22"/>
          <w:szCs w:val="22"/>
        </w:rPr>
        <w:t xml:space="preserve">be resold </w:t>
      </w:r>
      <w:r w:rsidR="00E30361">
        <w:rPr>
          <w:sz w:val="22"/>
          <w:szCs w:val="22"/>
        </w:rPr>
        <w:t>or otherwise transferred unless</w:t>
      </w:r>
      <w:r w:rsidR="00E30361" w:rsidRPr="00E00CFC">
        <w:rPr>
          <w:sz w:val="22"/>
          <w:szCs w:val="22"/>
        </w:rPr>
        <w:t xml:space="preserve"> they are registered under the Securities Act and applicable state securities laws or </w:t>
      </w:r>
      <w:r w:rsidR="00E30361">
        <w:rPr>
          <w:sz w:val="22"/>
          <w:szCs w:val="22"/>
        </w:rPr>
        <w:t>pursuant to</w:t>
      </w:r>
      <w:r w:rsidR="00E30361" w:rsidRPr="006A03EB">
        <w:rPr>
          <w:sz w:val="22"/>
          <w:szCs w:val="22"/>
        </w:rPr>
        <w:t xml:space="preserve"> </w:t>
      </w:r>
      <w:r w:rsidR="00E30361">
        <w:rPr>
          <w:sz w:val="22"/>
          <w:szCs w:val="22"/>
        </w:rPr>
        <w:t>Rule 501 of Regulation CF,</w:t>
      </w:r>
      <w:r w:rsidR="00E30361" w:rsidRPr="006A03EB">
        <w:rPr>
          <w:sz w:val="22"/>
          <w:szCs w:val="22"/>
        </w:rPr>
        <w:t xml:space="preserve"> </w:t>
      </w:r>
      <w:r w:rsidR="00E30361">
        <w:rPr>
          <w:sz w:val="22"/>
          <w:szCs w:val="22"/>
        </w:rPr>
        <w:t>in which case certain state transfer restrictions may apply</w:t>
      </w:r>
      <w:r w:rsidR="00BC3510" w:rsidRPr="00E53905">
        <w:rPr>
          <w:sz w:val="22"/>
          <w:szCs w:val="22"/>
        </w:rPr>
        <w:t>.</w:t>
      </w:r>
    </w:p>
    <w:p w14:paraId="6C82AAF2" w14:textId="77777777" w:rsidR="0094024D" w:rsidRDefault="00FF76BC"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r>
      <w:r w:rsidR="0094024D" w:rsidRPr="00E00CFC">
        <w:rPr>
          <w:sz w:val="22"/>
          <w:szCs w:val="22"/>
        </w:rPr>
        <w:t xml:space="preserve">The </w:t>
      </w:r>
      <w:r w:rsidR="008C2626" w:rsidRPr="00E00CFC">
        <w:rPr>
          <w:sz w:val="22"/>
          <w:szCs w:val="22"/>
        </w:rPr>
        <w:t>Investor</w:t>
      </w:r>
      <w:r w:rsidR="0094024D" w:rsidRPr="00E00CFC">
        <w:rPr>
          <w:sz w:val="22"/>
          <w:szCs w:val="22"/>
        </w:rPr>
        <w:t xml:space="preserve"> </w:t>
      </w:r>
      <w:r w:rsidR="00412847" w:rsidRPr="00E00CFC">
        <w:rPr>
          <w:sz w:val="22"/>
          <w:szCs w:val="22"/>
        </w:rPr>
        <w:t>is purchasing this instrument</w:t>
      </w:r>
      <w:r w:rsidR="0094024D" w:rsidRPr="00E00CFC">
        <w:rPr>
          <w:sz w:val="22"/>
          <w:szCs w:val="22"/>
        </w:rPr>
        <w:t xml:space="preserve"> and the securities to be acquired by the </w:t>
      </w:r>
      <w:r w:rsidR="008C2626" w:rsidRPr="00E00CFC">
        <w:rPr>
          <w:sz w:val="22"/>
          <w:szCs w:val="22"/>
        </w:rPr>
        <w:t>Investor</w:t>
      </w:r>
      <w:r w:rsidR="0094024D" w:rsidRPr="00E00CFC">
        <w:rPr>
          <w:sz w:val="22"/>
          <w:szCs w:val="22"/>
        </w:rPr>
        <w:t xml:space="preserve"> hereunder for its own account for investment, not as a nominee or agent, and not with a view to, or for resale in connection with, the distribution thereof, and the </w:t>
      </w:r>
      <w:r w:rsidR="008C2626" w:rsidRPr="00E00CFC">
        <w:rPr>
          <w:sz w:val="22"/>
          <w:szCs w:val="22"/>
        </w:rPr>
        <w:t>Investor</w:t>
      </w:r>
      <w:r w:rsidR="0094024D" w:rsidRPr="00E00CFC">
        <w:rPr>
          <w:sz w:val="22"/>
          <w:szCs w:val="22"/>
        </w:rPr>
        <w:t xml:space="preserve"> has no present intention of selling, granting any participation in, or otherwise distributing the same. </w:t>
      </w:r>
    </w:p>
    <w:p w14:paraId="6BE504C4" w14:textId="17C7DF80" w:rsidR="00BC6DC3" w:rsidRPr="00E00CFC" w:rsidRDefault="00BC6DC3" w:rsidP="008A2CEC">
      <w:pPr>
        <w:tabs>
          <w:tab w:val="left" w:pos="360"/>
        </w:tabs>
        <w:autoSpaceDE w:val="0"/>
        <w:autoSpaceDN w:val="0"/>
        <w:adjustRightInd w:val="0"/>
        <w:jc w:val="both"/>
        <w:rPr>
          <w:sz w:val="22"/>
          <w:szCs w:val="22"/>
        </w:rPr>
      </w:pPr>
      <w:r>
        <w:rPr>
          <w:sz w:val="22"/>
          <w:szCs w:val="22"/>
        </w:rPr>
        <w:t>(d)</w:t>
      </w:r>
      <w:r>
        <w:rPr>
          <w:sz w:val="22"/>
          <w:szCs w:val="22"/>
        </w:rPr>
        <w:tab/>
      </w:r>
      <w:r w:rsidR="00E30361">
        <w:rPr>
          <w:sz w:val="22"/>
          <w:szCs w:val="22"/>
        </w:rPr>
        <w:t>The Investor acknowledges, and is purchasing this instrument in compliance with, the investment limitations set forth in Rule 100(a)(2) of Regulation CF, promulgated under Section 4(a)(6)(B) of the Securities Act</w:t>
      </w:r>
      <w:r>
        <w:rPr>
          <w:sz w:val="22"/>
          <w:szCs w:val="22"/>
        </w:rPr>
        <w:t>.</w:t>
      </w:r>
    </w:p>
    <w:p w14:paraId="4BF4C0F9" w14:textId="2071CA12" w:rsidR="00D023E9" w:rsidRDefault="00D023E9" w:rsidP="008A2CEC">
      <w:pPr>
        <w:tabs>
          <w:tab w:val="left" w:pos="360"/>
        </w:tabs>
        <w:autoSpaceDE w:val="0"/>
        <w:autoSpaceDN w:val="0"/>
        <w:adjustRightInd w:val="0"/>
        <w:jc w:val="both"/>
        <w:rPr>
          <w:sz w:val="22"/>
          <w:szCs w:val="22"/>
        </w:rPr>
      </w:pPr>
      <w:r w:rsidRPr="00E00CFC">
        <w:rPr>
          <w:sz w:val="22"/>
          <w:szCs w:val="22"/>
        </w:rPr>
        <w:t>(</w:t>
      </w:r>
      <w:r w:rsidR="00BC6DC3">
        <w:rPr>
          <w:sz w:val="22"/>
          <w:szCs w:val="22"/>
        </w:rPr>
        <w:t>e</w:t>
      </w:r>
      <w:r w:rsidRPr="00E00CFC">
        <w:rPr>
          <w:sz w:val="22"/>
          <w:szCs w:val="22"/>
        </w:rPr>
        <w:t>)</w:t>
      </w:r>
      <w:r w:rsidRPr="00E00CFC">
        <w:rPr>
          <w:sz w:val="22"/>
          <w:szCs w:val="22"/>
        </w:rPr>
        <w:tab/>
        <w:t xml:space="preserve">The Investor acknowledges that the Investor has received all the information the Investor has requested from the Company and the Investor considers necessary or appropriate for </w:t>
      </w:r>
      <w:r w:rsidR="00E9615D">
        <w:rPr>
          <w:sz w:val="22"/>
          <w:szCs w:val="22"/>
        </w:rPr>
        <w:t>deciding whether to acquire t</w:t>
      </w:r>
      <w:r w:rsidR="00E9615D" w:rsidRPr="00E00CFC">
        <w:rPr>
          <w:sz w:val="22"/>
          <w:szCs w:val="22"/>
        </w:rPr>
        <w:t>his instrument and the</w:t>
      </w:r>
      <w:r w:rsidR="00E9615D">
        <w:rPr>
          <w:sz w:val="22"/>
          <w:szCs w:val="22"/>
        </w:rPr>
        <w:t xml:space="preserve"> underlying</w:t>
      </w:r>
      <w:r w:rsidR="00E9615D" w:rsidRPr="00E00CFC">
        <w:rPr>
          <w:sz w:val="22"/>
          <w:szCs w:val="22"/>
        </w:rPr>
        <w:t xml:space="preserve"> securities</w:t>
      </w:r>
      <w:r w:rsidRPr="00E00CFC">
        <w:rPr>
          <w:sz w:val="22"/>
          <w:szCs w:val="22"/>
        </w:rPr>
        <w:t>,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sidR="00D40856">
        <w:rPr>
          <w:sz w:val="22"/>
          <w:szCs w:val="22"/>
        </w:rPr>
        <w:t xml:space="preserve">  </w:t>
      </w:r>
      <w:r w:rsidR="00D40856" w:rsidRPr="00452FDC">
        <w:rPr>
          <w:sz w:val="22"/>
          <w:szCs w:val="22"/>
        </w:rPr>
        <w:t xml:space="preserve">In deciding to purchase </w:t>
      </w:r>
      <w:r w:rsidR="00D40856" w:rsidRPr="00E00CFC">
        <w:rPr>
          <w:sz w:val="22"/>
          <w:szCs w:val="22"/>
        </w:rPr>
        <w:t>this instrument</w:t>
      </w:r>
      <w:r w:rsidR="00D40856" w:rsidRPr="00452FDC">
        <w:rPr>
          <w:sz w:val="22"/>
          <w:szCs w:val="22"/>
        </w:rPr>
        <w:t xml:space="preserve">, </w:t>
      </w:r>
      <w:r w:rsidR="00564EBD">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is not relying on the advice or recommendations of the Company</w:t>
      </w:r>
      <w:r w:rsidR="00501DD0" w:rsidRPr="00B75199">
        <w:rPr>
          <w:sz w:val="22"/>
          <w:szCs w:val="22"/>
        </w:rPr>
        <w:t xml:space="preserve"> </w:t>
      </w:r>
      <w:r w:rsidR="00501DD0">
        <w:rPr>
          <w:sz w:val="22"/>
          <w:szCs w:val="22"/>
        </w:rPr>
        <w:t>or of Republic.co</w:t>
      </w:r>
      <w:r w:rsidR="00D40856" w:rsidRPr="00452FDC">
        <w:rPr>
          <w:sz w:val="22"/>
          <w:szCs w:val="22"/>
        </w:rPr>
        <w:t xml:space="preserve"> and </w:t>
      </w:r>
      <w:r w:rsidR="00D40856">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has made its own independent decision that </w:t>
      </w:r>
      <w:r w:rsidR="00184710">
        <w:rPr>
          <w:sz w:val="22"/>
          <w:szCs w:val="22"/>
        </w:rPr>
        <w:t xml:space="preserve">an </w:t>
      </w:r>
      <w:r w:rsidR="00D40856" w:rsidRPr="00452FDC">
        <w:rPr>
          <w:sz w:val="22"/>
          <w:szCs w:val="22"/>
        </w:rPr>
        <w:t xml:space="preserve">investment in </w:t>
      </w:r>
      <w:r w:rsidR="00D40856" w:rsidRPr="00E00CFC">
        <w:rPr>
          <w:sz w:val="22"/>
          <w:szCs w:val="22"/>
        </w:rPr>
        <w:t xml:space="preserve">this instrument and the underlying securities </w:t>
      </w:r>
      <w:r w:rsidR="00D40856" w:rsidRPr="00452FDC">
        <w:rPr>
          <w:sz w:val="22"/>
          <w:szCs w:val="22"/>
        </w:rPr>
        <w:t xml:space="preserve">is suitable and appropriate for </w:t>
      </w:r>
      <w:r w:rsidR="00D40856">
        <w:rPr>
          <w:sz w:val="22"/>
          <w:szCs w:val="22"/>
        </w:rPr>
        <w:t>the Investor</w:t>
      </w:r>
      <w:r w:rsidR="00D40856" w:rsidRPr="00452FDC">
        <w:rPr>
          <w:sz w:val="22"/>
          <w:szCs w:val="22"/>
        </w:rPr>
        <w:t>.</w:t>
      </w:r>
      <w:r w:rsidR="00021196">
        <w:rPr>
          <w:sz w:val="22"/>
          <w:szCs w:val="22"/>
        </w:rPr>
        <w:t xml:space="preserve"> </w:t>
      </w:r>
      <w:r w:rsidR="00D40856" w:rsidRPr="00452FDC">
        <w:rPr>
          <w:sz w:val="22"/>
          <w:szCs w:val="22"/>
        </w:rPr>
        <w:t xml:space="preserve"> </w:t>
      </w:r>
      <w:r w:rsidR="00D40856">
        <w:rPr>
          <w:sz w:val="22"/>
          <w:szCs w:val="22"/>
        </w:rPr>
        <w:t>The Investor</w:t>
      </w:r>
      <w:r w:rsidR="00D40856" w:rsidRPr="00452FDC">
        <w:rPr>
          <w:sz w:val="22"/>
          <w:szCs w:val="22"/>
        </w:rPr>
        <w:t xml:space="preserve"> understands that no federal or state agency has passed upon the merits or risks of an investment in </w:t>
      </w:r>
      <w:r w:rsidR="00D40856" w:rsidRPr="00E00CFC">
        <w:rPr>
          <w:sz w:val="22"/>
          <w:szCs w:val="22"/>
        </w:rPr>
        <w:t>this instrument and the underlying securities</w:t>
      </w:r>
      <w:r w:rsidR="00D40856" w:rsidRPr="00452FDC">
        <w:rPr>
          <w:sz w:val="22"/>
          <w:szCs w:val="22"/>
        </w:rPr>
        <w:t xml:space="preserve"> or made any finding or determination concerning the fairness or advisability of this investment.</w:t>
      </w:r>
    </w:p>
    <w:p w14:paraId="079BEE59" w14:textId="77777777" w:rsidR="00E750D5" w:rsidRPr="00615A3B" w:rsidRDefault="004C1D25" w:rsidP="00E750D5">
      <w:pPr>
        <w:widowControl w:val="0"/>
        <w:tabs>
          <w:tab w:val="left" w:pos="360"/>
        </w:tabs>
        <w:autoSpaceDE w:val="0"/>
        <w:autoSpaceDN w:val="0"/>
        <w:adjustRightInd w:val="0"/>
        <w:spacing w:after="240"/>
        <w:jc w:val="both"/>
        <w:rPr>
          <w:sz w:val="22"/>
          <w:szCs w:val="22"/>
        </w:rPr>
      </w:pPr>
      <w:r>
        <w:rPr>
          <w:sz w:val="22"/>
          <w:szCs w:val="22"/>
        </w:rPr>
        <w:t>(</w:t>
      </w:r>
      <w:proofErr w:type="spellStart"/>
      <w:r w:rsidR="00BC6DC3">
        <w:rPr>
          <w:sz w:val="22"/>
          <w:szCs w:val="22"/>
        </w:rPr>
        <w:t>f</w:t>
      </w:r>
      <w:proofErr w:type="spellEnd"/>
      <w:r>
        <w:rPr>
          <w:sz w:val="22"/>
          <w:szCs w:val="22"/>
        </w:rPr>
        <w:t>)</w:t>
      </w:r>
      <w:r>
        <w:rPr>
          <w:sz w:val="22"/>
          <w:szCs w:val="22"/>
        </w:rPr>
        <w:tab/>
      </w:r>
      <w:r w:rsidR="00E750D5">
        <w:rPr>
          <w:color w:val="000000"/>
          <w:sz w:val="22"/>
          <w:szCs w:val="22"/>
          <w:shd w:val="clear" w:color="auto" w:fill="FFFFFF"/>
        </w:rPr>
        <w:t>The I</w:t>
      </w:r>
      <w:r w:rsidR="00E750D5" w:rsidRPr="00E00CFC">
        <w:rPr>
          <w:color w:val="000000"/>
          <w:sz w:val="22"/>
          <w:szCs w:val="22"/>
          <w:shd w:val="clear" w:color="auto" w:fill="FFFFFF"/>
        </w:rPr>
        <w:t xml:space="preserve">nvestor </w:t>
      </w:r>
      <w:r w:rsidR="00E750D5">
        <w:rPr>
          <w:color w:val="000000"/>
          <w:sz w:val="22"/>
          <w:szCs w:val="22"/>
          <w:shd w:val="clear" w:color="auto" w:fill="FFFFFF"/>
        </w:rPr>
        <w:t>understands</w:t>
      </w:r>
      <w:r w:rsidR="00E750D5" w:rsidRPr="00E00CFC">
        <w:rPr>
          <w:color w:val="000000"/>
          <w:sz w:val="22"/>
          <w:szCs w:val="22"/>
          <w:shd w:val="clear" w:color="auto" w:fill="FFFFFF"/>
        </w:rPr>
        <w:t xml:space="preserve"> and acknowledges that </w:t>
      </w:r>
      <w:r w:rsidR="00E750D5">
        <w:rPr>
          <w:color w:val="000000"/>
          <w:sz w:val="22"/>
          <w:szCs w:val="22"/>
          <w:shd w:val="clear" w:color="auto" w:fill="FFFFFF"/>
        </w:rPr>
        <w:t xml:space="preserve">as a Crowd Safe investor, the </w:t>
      </w:r>
      <w:r w:rsidR="00E750D5" w:rsidRPr="00E00CFC">
        <w:rPr>
          <w:color w:val="000000"/>
          <w:sz w:val="22"/>
          <w:szCs w:val="22"/>
          <w:shd w:val="clear" w:color="auto" w:fill="FFFFFF"/>
        </w:rPr>
        <w:t xml:space="preserve">Investor shall have no </w:t>
      </w:r>
      <w:r w:rsidR="00E750D5">
        <w:rPr>
          <w:color w:val="000000"/>
          <w:sz w:val="22"/>
          <w:szCs w:val="22"/>
          <w:shd w:val="clear" w:color="auto" w:fill="FFFFFF"/>
        </w:rPr>
        <w:t>voting, information or inspection rights, aside from any disclosure requirements the Company is required to make under relevant securities regulations.</w:t>
      </w:r>
    </w:p>
    <w:p w14:paraId="0413704D" w14:textId="77777777" w:rsidR="004C1D25" w:rsidRDefault="00E750D5" w:rsidP="008A2CEC">
      <w:pPr>
        <w:tabs>
          <w:tab w:val="left" w:pos="360"/>
        </w:tabs>
        <w:autoSpaceDE w:val="0"/>
        <w:autoSpaceDN w:val="0"/>
        <w:adjustRightInd w:val="0"/>
        <w:jc w:val="both"/>
        <w:rPr>
          <w:sz w:val="22"/>
          <w:szCs w:val="22"/>
        </w:rPr>
      </w:pPr>
      <w:r>
        <w:rPr>
          <w:sz w:val="22"/>
          <w:szCs w:val="22"/>
        </w:rPr>
        <w:t>(g)</w:t>
      </w:r>
      <w:r>
        <w:rPr>
          <w:sz w:val="22"/>
          <w:szCs w:val="22"/>
        </w:rPr>
        <w:tab/>
      </w:r>
      <w:r w:rsidR="004C1D25" w:rsidRPr="00D2731A">
        <w:rPr>
          <w:sz w:val="22"/>
          <w:szCs w:val="22"/>
        </w:rPr>
        <w:t xml:space="preserve">The </w:t>
      </w:r>
      <w:r w:rsidR="004C1D25">
        <w:rPr>
          <w:sz w:val="22"/>
          <w:szCs w:val="22"/>
        </w:rPr>
        <w:t>Investor</w:t>
      </w:r>
      <w:r w:rsidR="004C1D25" w:rsidRPr="00D2731A">
        <w:rPr>
          <w:sz w:val="22"/>
          <w:szCs w:val="22"/>
        </w:rPr>
        <w:t xml:space="preserve"> understands that no public market</w:t>
      </w:r>
      <w:r w:rsidR="004C1D25" w:rsidRPr="00D2731A">
        <w:rPr>
          <w:spacing w:val="46"/>
          <w:sz w:val="22"/>
          <w:szCs w:val="22"/>
        </w:rPr>
        <w:t xml:space="preserve"> </w:t>
      </w:r>
      <w:r w:rsidR="004C1D25" w:rsidRPr="00D2731A">
        <w:rPr>
          <w:sz w:val="22"/>
          <w:szCs w:val="22"/>
        </w:rPr>
        <w:t>now exists</w:t>
      </w:r>
      <w:r w:rsidR="004C1D25" w:rsidRPr="00D2731A">
        <w:rPr>
          <w:spacing w:val="42"/>
          <w:sz w:val="22"/>
          <w:szCs w:val="22"/>
        </w:rPr>
        <w:t xml:space="preserve"> </w:t>
      </w:r>
      <w:r w:rsidR="004C1D25" w:rsidRPr="00D2731A">
        <w:rPr>
          <w:sz w:val="22"/>
          <w:szCs w:val="22"/>
        </w:rPr>
        <w:t>for</w:t>
      </w:r>
      <w:r w:rsidR="004C1D25" w:rsidRPr="00D2731A">
        <w:rPr>
          <w:spacing w:val="42"/>
          <w:sz w:val="22"/>
          <w:szCs w:val="22"/>
        </w:rPr>
        <w:t xml:space="preserve"> </w:t>
      </w:r>
      <w:r w:rsidR="004C1D25" w:rsidRPr="00D2731A">
        <w:rPr>
          <w:sz w:val="22"/>
          <w:szCs w:val="22"/>
        </w:rPr>
        <w:t>any</w:t>
      </w:r>
      <w:r w:rsidR="004C1D25" w:rsidRPr="00D2731A">
        <w:rPr>
          <w:spacing w:val="42"/>
          <w:sz w:val="22"/>
          <w:szCs w:val="22"/>
        </w:rPr>
        <w:t xml:space="preserve"> </w:t>
      </w:r>
      <w:r w:rsidR="004C1D25" w:rsidRPr="00D2731A">
        <w:rPr>
          <w:sz w:val="22"/>
          <w:szCs w:val="22"/>
        </w:rPr>
        <w:t>of</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securities</w:t>
      </w:r>
      <w:r w:rsidR="004C1D25" w:rsidRPr="00D2731A">
        <w:rPr>
          <w:spacing w:val="42"/>
          <w:sz w:val="22"/>
          <w:szCs w:val="22"/>
        </w:rPr>
        <w:t xml:space="preserve"> </w:t>
      </w:r>
      <w:r w:rsidR="004C1D25" w:rsidRPr="00D2731A">
        <w:rPr>
          <w:sz w:val="22"/>
          <w:szCs w:val="22"/>
        </w:rPr>
        <w:t>issued</w:t>
      </w:r>
      <w:r w:rsidR="004C1D25" w:rsidRPr="00D2731A">
        <w:rPr>
          <w:spacing w:val="42"/>
          <w:sz w:val="22"/>
          <w:szCs w:val="22"/>
        </w:rPr>
        <w:t xml:space="preserve"> </w:t>
      </w:r>
      <w:r w:rsidR="004C1D25" w:rsidRPr="00D2731A">
        <w:rPr>
          <w:sz w:val="22"/>
          <w:szCs w:val="22"/>
        </w:rPr>
        <w:t>by</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and</w:t>
      </w:r>
      <w:r w:rsidR="004C1D25" w:rsidRPr="00D2731A">
        <w:rPr>
          <w:spacing w:val="42"/>
          <w:sz w:val="22"/>
          <w:szCs w:val="22"/>
        </w:rPr>
        <w:t xml:space="preserve"> </w:t>
      </w:r>
      <w:r w:rsidR="004C1D25" w:rsidRPr="00D2731A">
        <w:rPr>
          <w:sz w:val="22"/>
          <w:szCs w:val="22"/>
        </w:rPr>
        <w:t>that</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has</w:t>
      </w:r>
      <w:r w:rsidR="004C1D25" w:rsidRPr="00D2731A">
        <w:rPr>
          <w:spacing w:val="42"/>
          <w:sz w:val="22"/>
          <w:szCs w:val="22"/>
        </w:rPr>
        <w:t xml:space="preserve"> </w:t>
      </w:r>
      <w:r w:rsidR="004C1D25" w:rsidRPr="00D2731A">
        <w:rPr>
          <w:sz w:val="22"/>
          <w:szCs w:val="22"/>
        </w:rPr>
        <w:t>made</w:t>
      </w:r>
      <w:r w:rsidR="004C1D25" w:rsidRPr="00D2731A">
        <w:rPr>
          <w:spacing w:val="42"/>
          <w:sz w:val="22"/>
          <w:szCs w:val="22"/>
        </w:rPr>
        <w:t xml:space="preserve"> </w:t>
      </w:r>
      <w:r w:rsidR="004C1D25" w:rsidRPr="00D2731A">
        <w:rPr>
          <w:sz w:val="22"/>
          <w:szCs w:val="22"/>
        </w:rPr>
        <w:t xml:space="preserve">no assurances that a public market will ever exist for </w:t>
      </w:r>
      <w:r w:rsidR="004C1D25" w:rsidRPr="00E00CFC">
        <w:rPr>
          <w:sz w:val="22"/>
          <w:szCs w:val="22"/>
        </w:rPr>
        <w:t>this instrument and the securities to be acquired by the Investor hereunder</w:t>
      </w:r>
      <w:r w:rsidR="004C1D25">
        <w:rPr>
          <w:sz w:val="22"/>
          <w:szCs w:val="22"/>
        </w:rPr>
        <w:t>.</w:t>
      </w:r>
    </w:p>
    <w:p w14:paraId="78C7F4A3" w14:textId="77777777" w:rsidR="0061478B" w:rsidRDefault="00104E42" w:rsidP="0061478B">
      <w:pPr>
        <w:tabs>
          <w:tab w:val="left" w:pos="360"/>
        </w:tabs>
        <w:autoSpaceDE w:val="0"/>
        <w:autoSpaceDN w:val="0"/>
        <w:adjustRightInd w:val="0"/>
        <w:jc w:val="both"/>
        <w:rPr>
          <w:sz w:val="22"/>
          <w:szCs w:val="22"/>
        </w:rPr>
      </w:pPr>
      <w:r>
        <w:rPr>
          <w:sz w:val="22"/>
          <w:szCs w:val="22"/>
        </w:rPr>
        <w:t>(</w:t>
      </w:r>
      <w:r w:rsidR="00E750D5">
        <w:rPr>
          <w:sz w:val="22"/>
          <w:szCs w:val="22"/>
        </w:rPr>
        <w:t>h</w:t>
      </w:r>
      <w:r>
        <w:rPr>
          <w:sz w:val="22"/>
          <w:szCs w:val="22"/>
        </w:rPr>
        <w:t>)</w:t>
      </w:r>
      <w:r>
        <w:rPr>
          <w:sz w:val="22"/>
          <w:szCs w:val="22"/>
        </w:rPr>
        <w:tab/>
      </w:r>
      <w:r w:rsidRPr="007C10D7">
        <w:rPr>
          <w:sz w:val="22"/>
          <w:szCs w:val="22"/>
        </w:rPr>
        <w:t xml:space="preserve">If </w:t>
      </w:r>
      <w:r>
        <w:rPr>
          <w:sz w:val="22"/>
          <w:szCs w:val="22"/>
        </w:rPr>
        <w:t>the Investor</w:t>
      </w:r>
      <w:r w:rsidRPr="007C10D7">
        <w:rPr>
          <w:sz w:val="22"/>
          <w:szCs w:val="22"/>
        </w:rPr>
        <w:t xml:space="preserve"> is not a United States person (as defined by Section 7701(a)(30) of the Internal Revenue Code of 1986, as amended), </w:t>
      </w:r>
      <w:r>
        <w:rPr>
          <w:sz w:val="22"/>
          <w:szCs w:val="22"/>
        </w:rPr>
        <w:t>the Investor</w:t>
      </w:r>
      <w:r w:rsidRPr="007C10D7">
        <w:rPr>
          <w:sz w:val="22"/>
          <w:szCs w:val="22"/>
        </w:rPr>
        <w:t xml:space="preserve"> hereby represents that it has satisfied itself as to the full observance of the laws of its jurisdiction in connection with any invitation to subscribe for </w:t>
      </w:r>
      <w:r>
        <w:rPr>
          <w:sz w:val="22"/>
          <w:szCs w:val="22"/>
        </w:rPr>
        <w:t>this instrument</w:t>
      </w:r>
      <w:r w:rsidRPr="007C10D7">
        <w:rPr>
          <w:sz w:val="22"/>
          <w:szCs w:val="22"/>
        </w:rPr>
        <w:t xml:space="preserve">, including (a) the legal requirements within its jurisdiction for the purchase of </w:t>
      </w:r>
      <w:r>
        <w:rPr>
          <w:sz w:val="22"/>
          <w:szCs w:val="22"/>
        </w:rPr>
        <w:t>this instrument</w:t>
      </w:r>
      <w:r w:rsidRPr="007C10D7">
        <w:rPr>
          <w:sz w:val="22"/>
          <w:szCs w:val="22"/>
        </w:rPr>
        <w:t xml:space="preserve">; (b) any foreign exchange restrictions applicable to such purchase; (c) any governmental or other consents that may need to be obtained; and (d) the income tax and other tax consequences, if any, that may be relevant to the purchase, holding, conversion, redemption, sale, or transfer of </w:t>
      </w:r>
      <w:r>
        <w:rPr>
          <w:sz w:val="22"/>
          <w:szCs w:val="22"/>
        </w:rPr>
        <w:t>this instrument.</w:t>
      </w:r>
      <w:r w:rsidR="00021196">
        <w:rPr>
          <w:sz w:val="22"/>
          <w:szCs w:val="22"/>
        </w:rPr>
        <w:t xml:space="preserve"> </w:t>
      </w:r>
      <w:r>
        <w:rPr>
          <w:sz w:val="22"/>
          <w:szCs w:val="22"/>
        </w:rPr>
        <w:t xml:space="preserve"> The Investor’</w:t>
      </w:r>
      <w:r w:rsidRPr="007C10D7">
        <w:rPr>
          <w:sz w:val="22"/>
          <w:szCs w:val="22"/>
        </w:rPr>
        <w:t xml:space="preserve">s subscription and payment for and continued beneficial ownership of </w:t>
      </w:r>
      <w:r>
        <w:rPr>
          <w:sz w:val="22"/>
          <w:szCs w:val="22"/>
        </w:rPr>
        <w:t>this instrument and the underlying securities</w:t>
      </w:r>
      <w:r w:rsidRPr="007C10D7">
        <w:rPr>
          <w:sz w:val="22"/>
          <w:szCs w:val="22"/>
        </w:rPr>
        <w:t xml:space="preserve"> will not violate any applicable securities or other </w:t>
      </w:r>
      <w:r>
        <w:rPr>
          <w:sz w:val="22"/>
          <w:szCs w:val="22"/>
        </w:rPr>
        <w:t>laws of the Investor’</w:t>
      </w:r>
      <w:r w:rsidRPr="007C10D7">
        <w:rPr>
          <w:sz w:val="22"/>
          <w:szCs w:val="22"/>
        </w:rPr>
        <w:t xml:space="preserve">s jurisdiction. </w:t>
      </w:r>
      <w:r w:rsidR="00021196">
        <w:rPr>
          <w:sz w:val="22"/>
          <w:szCs w:val="22"/>
        </w:rPr>
        <w:t xml:space="preserve"> </w:t>
      </w:r>
      <w:r>
        <w:rPr>
          <w:sz w:val="22"/>
          <w:szCs w:val="22"/>
        </w:rPr>
        <w:t>The Investor</w:t>
      </w:r>
      <w:r w:rsidRPr="007C10D7">
        <w:rPr>
          <w:sz w:val="22"/>
          <w:szCs w:val="22"/>
        </w:rPr>
        <w:t xml:space="preserve"> acknowledges that the Company has taken no action in foreign ju</w:t>
      </w:r>
      <w:r>
        <w:rPr>
          <w:sz w:val="22"/>
          <w:szCs w:val="22"/>
        </w:rPr>
        <w:t>risdictions with respect to this instrument and the underlying securities</w:t>
      </w:r>
      <w:r w:rsidRPr="007C10D7">
        <w:rPr>
          <w:sz w:val="22"/>
          <w:szCs w:val="22"/>
        </w:rPr>
        <w:t>.</w:t>
      </w:r>
    </w:p>
    <w:p w14:paraId="2A011A09" w14:textId="77777777" w:rsidR="0061478B" w:rsidRPr="0040545E" w:rsidRDefault="00F4239E" w:rsidP="00330703">
      <w:pPr>
        <w:ind w:firstLine="0"/>
        <w:outlineLvl w:val="0"/>
        <w:rPr>
          <w:rStyle w:val="khidentifier"/>
          <w:sz w:val="22"/>
          <w:szCs w:val="22"/>
        </w:rPr>
      </w:pPr>
      <w:r>
        <w:rPr>
          <w:b/>
          <w:sz w:val="22"/>
          <w:szCs w:val="22"/>
        </w:rPr>
        <w:t>5</w:t>
      </w:r>
      <w:r w:rsidR="0061478B" w:rsidRPr="005714A0">
        <w:rPr>
          <w:b/>
          <w:sz w:val="22"/>
          <w:szCs w:val="22"/>
        </w:rPr>
        <w:t>.</w:t>
      </w:r>
      <w:r w:rsidR="005714A0">
        <w:rPr>
          <w:b/>
          <w:sz w:val="22"/>
          <w:szCs w:val="22"/>
        </w:rPr>
        <w:t xml:space="preserve">  </w:t>
      </w:r>
      <w:r w:rsidR="0061478B" w:rsidRPr="005714A0">
        <w:rPr>
          <w:b/>
          <w:i/>
          <w:sz w:val="22"/>
          <w:szCs w:val="22"/>
        </w:rPr>
        <w:t>Transfer Restrictions</w:t>
      </w:r>
      <w:r w:rsidR="0061478B" w:rsidRPr="0040545E">
        <w:rPr>
          <w:sz w:val="22"/>
          <w:szCs w:val="22"/>
        </w:rPr>
        <w:t>.</w:t>
      </w:r>
      <w:r w:rsidR="0061478B" w:rsidRPr="0040545E">
        <w:rPr>
          <w:rStyle w:val="khidentifier"/>
          <w:sz w:val="22"/>
          <w:szCs w:val="22"/>
        </w:rPr>
        <w:t xml:space="preserve"> </w:t>
      </w:r>
    </w:p>
    <w:p w14:paraId="075098D3" w14:textId="77777777" w:rsidR="00AB3466" w:rsidRDefault="0061478B" w:rsidP="00AB3466">
      <w:pPr>
        <w:jc w:val="both"/>
        <w:rPr>
          <w:sz w:val="22"/>
          <w:szCs w:val="22"/>
        </w:rPr>
      </w:pPr>
      <w:r>
        <w:rPr>
          <w:rStyle w:val="khidentifier"/>
          <w:sz w:val="22"/>
          <w:szCs w:val="22"/>
        </w:rPr>
        <w:t>(</w:t>
      </w:r>
      <w:proofErr w:type="spellStart"/>
      <w:r>
        <w:rPr>
          <w:rStyle w:val="khidentifier"/>
          <w:sz w:val="22"/>
          <w:szCs w:val="22"/>
        </w:rPr>
        <w:t>a</w:t>
      </w:r>
      <w:proofErr w:type="spellEnd"/>
      <w:r>
        <w:rPr>
          <w:rStyle w:val="khidentifier"/>
          <w:sz w:val="22"/>
          <w:szCs w:val="22"/>
        </w:rPr>
        <w:t>)</w:t>
      </w:r>
      <w:r w:rsidRPr="0040545E">
        <w:rPr>
          <w:sz w:val="22"/>
          <w:szCs w:val="22"/>
        </w:rPr>
        <w:tab/>
      </w:r>
      <w:r w:rsidR="003D1552">
        <w:rPr>
          <w:sz w:val="22"/>
          <w:szCs w:val="22"/>
        </w:rPr>
        <w:t>The</w:t>
      </w:r>
      <w:r w:rsidRPr="0040545E">
        <w:rPr>
          <w:sz w:val="22"/>
          <w:szCs w:val="22"/>
        </w:rPr>
        <w:t xml:space="preserve"> </w:t>
      </w:r>
      <w:r w:rsidR="003D1552">
        <w:rPr>
          <w:sz w:val="22"/>
          <w:szCs w:val="22"/>
        </w:rPr>
        <w:t>Investor</w:t>
      </w:r>
      <w:r w:rsidRPr="0040545E">
        <w:rPr>
          <w:sz w:val="22"/>
          <w:szCs w:val="22"/>
        </w:rPr>
        <w:t xml:space="preserve"> hereby agrees that </w:t>
      </w:r>
      <w:r w:rsidR="00BC6DC3" w:rsidRPr="0040545E">
        <w:rPr>
          <w:sz w:val="22"/>
          <w:szCs w:val="22"/>
        </w:rPr>
        <w:t xml:space="preserve">during the </w:t>
      </w:r>
      <w:r w:rsidR="00BC6DC3">
        <w:rPr>
          <w:sz w:val="22"/>
          <w:szCs w:val="22"/>
        </w:rPr>
        <w:t xml:space="preserve">Lock-up Period </w:t>
      </w:r>
      <w:r w:rsidRPr="0040545E">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sidR="00613994">
        <w:rPr>
          <w:sz w:val="22"/>
          <w:szCs w:val="22"/>
        </w:rPr>
        <w:t>Common</w:t>
      </w:r>
      <w:r w:rsidRPr="0040545E">
        <w:rPr>
          <w:sz w:val="22"/>
          <w:szCs w:val="22"/>
        </w:rPr>
        <w:t xml:space="preserve"> Stock or any securities convertible into or exercisable or exchangeable (directly or indirectly) for </w:t>
      </w:r>
      <w:r w:rsidR="00613994">
        <w:rPr>
          <w:sz w:val="22"/>
          <w:szCs w:val="22"/>
        </w:rPr>
        <w:t>Common</w:t>
      </w:r>
      <w:r w:rsidRPr="0040545E">
        <w:rPr>
          <w:sz w:val="22"/>
          <w:szCs w:val="22"/>
        </w:rPr>
        <w:t xml:space="preserve"> Stock (whether such shares or any such securities are then owned by the </w:t>
      </w:r>
      <w:r w:rsidR="003D1552">
        <w:rPr>
          <w:sz w:val="22"/>
          <w:szCs w:val="22"/>
        </w:rPr>
        <w:t>Investor</w:t>
      </w:r>
      <w:r w:rsidRPr="0040545E">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613994">
        <w:rPr>
          <w:sz w:val="22"/>
          <w:szCs w:val="22"/>
        </w:rPr>
        <w:t>Common</w:t>
      </w:r>
      <w:r w:rsidRPr="0040545E">
        <w:rPr>
          <w:sz w:val="22"/>
          <w:szCs w:val="22"/>
        </w:rPr>
        <w:t xml:space="preserve"> Stock or other securities, in cash, or otherwise. </w:t>
      </w:r>
    </w:p>
    <w:p w14:paraId="3A038A0E" w14:textId="77777777" w:rsidR="0061478B" w:rsidRPr="0040545E" w:rsidRDefault="00AB3466" w:rsidP="00AB3466">
      <w:pPr>
        <w:jc w:val="both"/>
        <w:rPr>
          <w:sz w:val="22"/>
          <w:szCs w:val="22"/>
        </w:rPr>
      </w:pPr>
      <w:r>
        <w:rPr>
          <w:sz w:val="22"/>
          <w:szCs w:val="22"/>
        </w:rPr>
        <w:t>(b)</w:t>
      </w:r>
      <w:r>
        <w:rPr>
          <w:sz w:val="22"/>
          <w:szCs w:val="22"/>
        </w:rPr>
        <w:tab/>
      </w:r>
      <w:r w:rsidR="0061478B" w:rsidRPr="0040545E">
        <w:rPr>
          <w:sz w:val="22"/>
          <w:szCs w:val="22"/>
        </w:rPr>
        <w:t>The foregoing provisions of Section 5</w:t>
      </w:r>
      <w:r w:rsidR="0061478B">
        <w:rPr>
          <w:sz w:val="22"/>
          <w:szCs w:val="22"/>
        </w:rPr>
        <w:t>(a)</w:t>
      </w:r>
      <w:r w:rsidR="0061478B" w:rsidRPr="0040545E">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Pr>
          <w:sz w:val="22"/>
          <w:szCs w:val="22"/>
        </w:rPr>
        <w:t>Investor</w:t>
      </w:r>
      <w:r w:rsidR="0061478B" w:rsidRPr="0040545E">
        <w:rPr>
          <w:sz w:val="22"/>
          <w:szCs w:val="22"/>
        </w:rPr>
        <w:t xml:space="preserve"> or the immediate family of the </w:t>
      </w:r>
      <w:r w:rsidR="003D1552">
        <w:rPr>
          <w:sz w:val="22"/>
          <w:szCs w:val="22"/>
        </w:rPr>
        <w:t>Investor</w:t>
      </w:r>
      <w:r w:rsidR="0061478B" w:rsidRPr="0040545E">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sidR="003D1552">
        <w:rPr>
          <w:sz w:val="22"/>
          <w:szCs w:val="22"/>
        </w:rPr>
        <w:t>Investor</w:t>
      </w:r>
      <w:r w:rsidR="0061478B" w:rsidRPr="0040545E">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sidR="00613994">
        <w:rPr>
          <w:sz w:val="22"/>
          <w:szCs w:val="22"/>
        </w:rPr>
        <w:t>Common</w:t>
      </w:r>
      <w:r w:rsidR="0061478B" w:rsidRPr="0040545E">
        <w:rPr>
          <w:sz w:val="22"/>
          <w:szCs w:val="22"/>
        </w:rPr>
        <w:t xml:space="preserve"> Stock</w:t>
      </w:r>
      <w:r w:rsidR="00263E90">
        <w:rPr>
          <w:sz w:val="22"/>
          <w:szCs w:val="22"/>
        </w:rPr>
        <w:t xml:space="preserve"> or any securities convertible into or exercisable or </w:t>
      </w:r>
      <w:r w:rsidR="00C9466B">
        <w:rPr>
          <w:sz w:val="22"/>
          <w:szCs w:val="22"/>
        </w:rPr>
        <w:t>exchangeable</w:t>
      </w:r>
      <w:r w:rsidR="00263E90">
        <w:rPr>
          <w:sz w:val="22"/>
          <w:szCs w:val="22"/>
        </w:rPr>
        <w:t xml:space="preserve"> (directly or indirectly) for </w:t>
      </w:r>
      <w:r w:rsidR="00613994">
        <w:rPr>
          <w:sz w:val="22"/>
          <w:szCs w:val="22"/>
        </w:rPr>
        <w:t>Common</w:t>
      </w:r>
      <w:r w:rsidR="00263E90">
        <w:rPr>
          <w:sz w:val="22"/>
          <w:szCs w:val="22"/>
        </w:rPr>
        <w:t xml:space="preserve"> Stock</w:t>
      </w:r>
      <w:r w:rsidR="0061478B" w:rsidRPr="0040545E">
        <w:rPr>
          <w:sz w:val="22"/>
          <w:szCs w:val="22"/>
        </w:rPr>
        <w:t xml:space="preserve">. </w:t>
      </w:r>
      <w:r w:rsidR="00021196">
        <w:rPr>
          <w:sz w:val="22"/>
          <w:szCs w:val="22"/>
        </w:rPr>
        <w:t xml:space="preserve"> </w:t>
      </w:r>
      <w:r w:rsidR="0061478B" w:rsidRPr="0040545E">
        <w:rPr>
          <w:sz w:val="22"/>
          <w:szCs w:val="22"/>
        </w:rPr>
        <w:t>Notwithstanding anything herein to the contrary, the underwriters in connection with the IPO are intended third-party beneficiaries of Section 5</w:t>
      </w:r>
      <w:r w:rsidR="0061478B">
        <w:rPr>
          <w:sz w:val="22"/>
          <w:szCs w:val="22"/>
        </w:rPr>
        <w:t>(a)</w:t>
      </w:r>
      <w:r w:rsidR="0061478B" w:rsidRPr="0040545E">
        <w:rPr>
          <w:sz w:val="22"/>
          <w:szCs w:val="22"/>
        </w:rPr>
        <w:t xml:space="preserve"> and will have the right, power and authority to enforce the provisions hereof as though they were a party hereto. </w:t>
      </w:r>
      <w:r w:rsidR="00021196">
        <w:rPr>
          <w:sz w:val="22"/>
          <w:szCs w:val="22"/>
        </w:rPr>
        <w:t xml:space="preserve"> </w:t>
      </w:r>
      <w:r w:rsidR="0061478B" w:rsidRPr="0040545E">
        <w:rPr>
          <w:sz w:val="22"/>
          <w:szCs w:val="22"/>
        </w:rPr>
        <w:t xml:space="preserve">The </w:t>
      </w:r>
      <w:r w:rsidR="003D1552">
        <w:rPr>
          <w:sz w:val="22"/>
          <w:szCs w:val="22"/>
        </w:rPr>
        <w:t>Investor</w:t>
      </w:r>
      <w:r w:rsidR="0061478B" w:rsidRPr="0040545E">
        <w:rPr>
          <w:sz w:val="22"/>
          <w:szCs w:val="22"/>
        </w:rPr>
        <w:t xml:space="preserve"> further agrees to execute such agreements as may be reasonably requested by the underwriters in connection with the IPO that are consistent with Section 5</w:t>
      </w:r>
      <w:r w:rsidR="0061478B">
        <w:rPr>
          <w:sz w:val="22"/>
          <w:szCs w:val="22"/>
        </w:rPr>
        <w:t>(a)</w:t>
      </w:r>
      <w:r w:rsidR="0061478B" w:rsidRPr="0040545E">
        <w:rPr>
          <w:sz w:val="22"/>
          <w:szCs w:val="22"/>
        </w:rPr>
        <w:t xml:space="preserve"> or that are necessary to give further effect thereto. </w:t>
      </w:r>
    </w:p>
    <w:p w14:paraId="34D405CA" w14:textId="77777777" w:rsidR="0061478B" w:rsidRPr="0040545E" w:rsidRDefault="00823F02" w:rsidP="0061478B">
      <w:pPr>
        <w:jc w:val="both"/>
        <w:rPr>
          <w:sz w:val="22"/>
          <w:szCs w:val="22"/>
        </w:rPr>
      </w:pPr>
      <w:r>
        <w:rPr>
          <w:sz w:val="22"/>
          <w:szCs w:val="22"/>
        </w:rPr>
        <w:t>(c)</w:t>
      </w:r>
      <w:r>
        <w:rPr>
          <w:sz w:val="22"/>
          <w:szCs w:val="22"/>
        </w:rPr>
        <w:tab/>
      </w:r>
      <w:r w:rsidR="0061478B" w:rsidRPr="0040545E">
        <w:rPr>
          <w:sz w:val="22"/>
          <w:szCs w:val="22"/>
        </w:rPr>
        <w:t xml:space="preserve">In order to enforce the foregoing covenant, the Company may impose stop transfer instructions with respect to the </w:t>
      </w:r>
      <w:r w:rsidR="003D1552">
        <w:rPr>
          <w:sz w:val="22"/>
          <w:szCs w:val="22"/>
        </w:rPr>
        <w:t>Investor</w:t>
      </w:r>
      <w:r w:rsidR="0061478B" w:rsidRPr="0040545E">
        <w:rPr>
          <w:sz w:val="22"/>
          <w:szCs w:val="22"/>
        </w:rPr>
        <w:t xml:space="preserve">’s registrable securities of the Company (and the Company shares or securities of every other person subject to the foregoing restriction) until the end of </w:t>
      </w:r>
      <w:r w:rsidR="00C9466B">
        <w:rPr>
          <w:sz w:val="22"/>
          <w:szCs w:val="22"/>
        </w:rPr>
        <w:t>the Lock-up P</w:t>
      </w:r>
      <w:r w:rsidR="0061478B" w:rsidRPr="0040545E">
        <w:rPr>
          <w:sz w:val="22"/>
          <w:szCs w:val="22"/>
        </w:rPr>
        <w:t xml:space="preserve">eriod. The </w:t>
      </w:r>
      <w:r w:rsidR="003D1552">
        <w:rPr>
          <w:sz w:val="22"/>
          <w:szCs w:val="22"/>
        </w:rPr>
        <w:t>Investor</w:t>
      </w:r>
      <w:r w:rsidR="0061478B" w:rsidRPr="0040545E">
        <w:rPr>
          <w:sz w:val="22"/>
          <w:szCs w:val="22"/>
        </w:rPr>
        <w:t xml:space="preserve"> agrees that a legend reading substantially as follows will be placed on all certificates representing all of the </w:t>
      </w:r>
      <w:r w:rsidR="003D1552">
        <w:rPr>
          <w:sz w:val="22"/>
          <w:szCs w:val="22"/>
        </w:rPr>
        <w:t>Investor</w:t>
      </w:r>
      <w:r w:rsidR="0061478B" w:rsidRPr="0040545E">
        <w:rPr>
          <w:sz w:val="22"/>
          <w:szCs w:val="22"/>
        </w:rPr>
        <w:t xml:space="preserve">’s registrable securities of the Company (and the shares or securities of </w:t>
      </w:r>
      <w:r w:rsidR="00C9466B">
        <w:rPr>
          <w:sz w:val="22"/>
          <w:szCs w:val="22"/>
        </w:rPr>
        <w:t xml:space="preserve">the Company held by </w:t>
      </w:r>
      <w:r w:rsidR="0061478B" w:rsidRPr="0040545E">
        <w:rPr>
          <w:sz w:val="22"/>
          <w:szCs w:val="22"/>
        </w:rPr>
        <w:t xml:space="preserve">every other person subject to the restriction contained in Section </w:t>
      </w:r>
      <w:r w:rsidR="0061478B">
        <w:rPr>
          <w:sz w:val="22"/>
          <w:szCs w:val="22"/>
        </w:rPr>
        <w:t>5(a)</w:t>
      </w:r>
      <w:r w:rsidR="0061478B" w:rsidRPr="0040545E">
        <w:rPr>
          <w:sz w:val="22"/>
          <w:szCs w:val="22"/>
        </w:rPr>
        <w:t>):</w:t>
      </w:r>
    </w:p>
    <w:p w14:paraId="44EEF3E5" w14:textId="5172B1D0" w:rsidR="00233A22" w:rsidRPr="0040545E" w:rsidRDefault="0061478B" w:rsidP="00233A22">
      <w:pPr>
        <w:ind w:left="720" w:right="720" w:firstLine="0"/>
        <w:jc w:val="both"/>
        <w:rPr>
          <w:sz w:val="22"/>
          <w:szCs w:val="22"/>
        </w:rPr>
      </w:pPr>
      <w:r w:rsidRPr="0040545E">
        <w:rPr>
          <w:sz w:val="22"/>
          <w:szCs w:val="22"/>
        </w:rPr>
        <w:t>THE SECURITIES REPRESENTED BY THIS CERTIFICATE ARE SUBJECT TO A LOCK-UP PERIOD BEGINNING ON THE EFFECTIVE DATE OF THE COMPANY</w:t>
      </w:r>
      <w:r w:rsidR="00813D25">
        <w:rPr>
          <w:sz w:val="22"/>
          <w:szCs w:val="22"/>
        </w:rPr>
        <w:t>’</w:t>
      </w:r>
      <w:r w:rsidRPr="0040545E">
        <w:rPr>
          <w:sz w:val="22"/>
          <w:szCs w:val="22"/>
        </w:rPr>
        <w:t>S REGISTRATION STATEMENT FILED UNDER THE SECURITIES ACT OF 1933, AS AMENDED, AS SET FORTH IN AN AGREEMENT BETWEEN THE COMPANY AND THE ORIGINAL HOLDER OF THESE SECURITIES, A COPY OF WHICH MAY BE OBTAINED AT THE COMPANY</w:t>
      </w:r>
      <w:r w:rsidR="00813D25">
        <w:rPr>
          <w:sz w:val="22"/>
          <w:szCs w:val="22"/>
        </w:rPr>
        <w:t>’</w:t>
      </w:r>
      <w:r w:rsidRPr="0040545E">
        <w:rPr>
          <w:sz w:val="22"/>
          <w:szCs w:val="22"/>
        </w:rPr>
        <w:t xml:space="preserve">S PRINCIPAL OFFICE. </w:t>
      </w:r>
      <w:r w:rsidR="00021196">
        <w:rPr>
          <w:sz w:val="22"/>
          <w:szCs w:val="22"/>
        </w:rPr>
        <w:t xml:space="preserve"> </w:t>
      </w:r>
      <w:r w:rsidRPr="0040545E">
        <w:rPr>
          <w:sz w:val="22"/>
          <w:szCs w:val="22"/>
        </w:rPr>
        <w:t>SUCH LOCK-UP PERIOD IS BINDING ON TRANSFEREES OF THESE SECURITIES.</w:t>
      </w:r>
    </w:p>
    <w:p w14:paraId="1E0F660B" w14:textId="69F5821E" w:rsidR="0061478B" w:rsidRPr="0040545E" w:rsidRDefault="0061478B" w:rsidP="00823F02">
      <w:pPr>
        <w:pStyle w:val="Heading1"/>
        <w:numPr>
          <w:ilvl w:val="0"/>
          <w:numId w:val="0"/>
        </w:numPr>
        <w:ind w:firstLine="630"/>
        <w:jc w:val="both"/>
        <w:rPr>
          <w:sz w:val="22"/>
          <w:szCs w:val="22"/>
        </w:rPr>
      </w:pPr>
      <w:r>
        <w:rPr>
          <w:bCs/>
          <w:sz w:val="22"/>
          <w:szCs w:val="22"/>
        </w:rPr>
        <w:t>(</w:t>
      </w:r>
      <w:r w:rsidR="00823F02">
        <w:rPr>
          <w:bCs/>
          <w:sz w:val="22"/>
          <w:szCs w:val="22"/>
        </w:rPr>
        <w:t>d</w:t>
      </w:r>
      <w:r>
        <w:rPr>
          <w:bCs/>
          <w:sz w:val="22"/>
          <w:szCs w:val="22"/>
        </w:rPr>
        <w:t>)</w:t>
      </w:r>
      <w:r w:rsidRPr="0040545E">
        <w:rPr>
          <w:bCs/>
          <w:sz w:val="22"/>
          <w:szCs w:val="22"/>
        </w:rPr>
        <w:tab/>
      </w:r>
      <w:r w:rsidRPr="0040545E">
        <w:rPr>
          <w:sz w:val="22"/>
          <w:szCs w:val="22"/>
        </w:rPr>
        <w:t>Without in any way limiting the representations and warranties set forth</w:t>
      </w:r>
      <w:r w:rsidR="00823F02">
        <w:rPr>
          <w:sz w:val="22"/>
          <w:szCs w:val="22"/>
        </w:rPr>
        <w:t xml:space="preserve"> in Section 4</w:t>
      </w:r>
      <w:r w:rsidRPr="0040545E">
        <w:rPr>
          <w:sz w:val="22"/>
          <w:szCs w:val="22"/>
        </w:rPr>
        <w:t xml:space="preserve"> above,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further agrees not to make any disposition of all or any portion of </w:t>
      </w:r>
      <w:r w:rsidR="00823F02" w:rsidRPr="0040545E">
        <w:rPr>
          <w:sz w:val="22"/>
          <w:szCs w:val="22"/>
        </w:rPr>
        <w:t>th</w:t>
      </w:r>
      <w:r w:rsidR="00823F02">
        <w:rPr>
          <w:sz w:val="22"/>
          <w:szCs w:val="22"/>
        </w:rPr>
        <w:t>is</w:t>
      </w:r>
      <w:r w:rsidR="00823F02" w:rsidRPr="0040545E">
        <w:rPr>
          <w:sz w:val="22"/>
          <w:szCs w:val="22"/>
        </w:rPr>
        <w:t xml:space="preserve"> </w:t>
      </w:r>
      <w:r w:rsidR="00533EAE">
        <w:rPr>
          <w:sz w:val="22"/>
          <w:szCs w:val="22"/>
        </w:rPr>
        <w:t>instrument or the underlying securities</w:t>
      </w:r>
      <w:r w:rsidRPr="0040545E">
        <w:rPr>
          <w:sz w:val="22"/>
          <w:szCs w:val="22"/>
        </w:rPr>
        <w:t xml:space="preserve"> unless and until the transferee has agreed in writing for the benefit of the Company to make the representations and warranties set out in Section 4 and the undertaking set out in Section </w:t>
      </w:r>
      <w:r>
        <w:rPr>
          <w:sz w:val="22"/>
          <w:szCs w:val="22"/>
        </w:rPr>
        <w:t>5(a)</w:t>
      </w:r>
      <w:r w:rsidRPr="0040545E">
        <w:rPr>
          <w:sz w:val="22"/>
          <w:szCs w:val="22"/>
        </w:rPr>
        <w:t xml:space="preserve"> and:</w:t>
      </w:r>
    </w:p>
    <w:p w14:paraId="4FCA8345" w14:textId="77777777" w:rsidR="0061478B" w:rsidRPr="0040545E" w:rsidRDefault="0061478B" w:rsidP="00823F02">
      <w:pPr>
        <w:pStyle w:val="Heading3"/>
        <w:numPr>
          <w:ilvl w:val="0"/>
          <w:numId w:val="0"/>
        </w:numPr>
        <w:shd w:val="clear" w:color="auto" w:fill="FFFFFF"/>
        <w:ind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Pr="0040545E">
        <w:rPr>
          <w:sz w:val="22"/>
          <w:szCs w:val="22"/>
        </w:rPr>
        <w:t>There is then in effect a registration statement under the Securities Act covering such proposed disposition and such disposition is made in accordance with such registration statement; or</w:t>
      </w:r>
    </w:p>
    <w:p w14:paraId="271ACEA7" w14:textId="75D2BC5A" w:rsidR="00533EAE" w:rsidRPr="00533EAE" w:rsidRDefault="0061478B" w:rsidP="00823F02">
      <w:pPr>
        <w:pStyle w:val="Heading3"/>
        <w:numPr>
          <w:ilvl w:val="0"/>
          <w:numId w:val="0"/>
        </w:numPr>
        <w:shd w:val="clear" w:color="auto" w:fill="FFFFFF"/>
        <w:ind w:firstLine="1440"/>
        <w:jc w:val="both"/>
        <w:rPr>
          <w:sz w:val="22"/>
          <w:szCs w:val="22"/>
        </w:rPr>
      </w:pPr>
      <w:r>
        <w:rPr>
          <w:sz w:val="22"/>
          <w:szCs w:val="22"/>
        </w:rPr>
        <w:t>(ii)</w:t>
      </w:r>
      <w:r>
        <w:rPr>
          <w:sz w:val="22"/>
          <w:szCs w:val="22"/>
        </w:rPr>
        <w:tab/>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furnished the Company with an opinion of counsel reasonably satisfactory to the Company that such disposition will not require registration of such shares under the Securities Act.  </w:t>
      </w:r>
    </w:p>
    <w:p w14:paraId="4A769550" w14:textId="77777777" w:rsidR="00533EAE" w:rsidRDefault="00533EAE" w:rsidP="00533EAE">
      <w:pPr>
        <w:pStyle w:val="Bod"/>
        <w:shd w:val="clear" w:color="auto" w:fill="FFFFFF"/>
        <w:spacing w:after="0"/>
        <w:ind w:firstLine="0"/>
        <w:rPr>
          <w:sz w:val="22"/>
          <w:szCs w:val="22"/>
        </w:rPr>
      </w:pPr>
    </w:p>
    <w:p w14:paraId="424B0431" w14:textId="3B68164A" w:rsidR="0061478B" w:rsidRPr="0040545E" w:rsidRDefault="00564EBD" w:rsidP="00564EBD">
      <w:pPr>
        <w:pStyle w:val="Bod"/>
        <w:shd w:val="clear" w:color="auto" w:fill="FFFFFF"/>
        <w:rPr>
          <w:sz w:val="22"/>
          <w:szCs w:val="22"/>
        </w:rPr>
      </w:pPr>
      <w:r>
        <w:rPr>
          <w:sz w:val="22"/>
          <w:szCs w:val="22"/>
        </w:rPr>
        <w:t>(e)</w:t>
      </w:r>
      <w:r>
        <w:rPr>
          <w:sz w:val="22"/>
          <w:szCs w:val="22"/>
        </w:rPr>
        <w:tab/>
        <w:t>The</w:t>
      </w:r>
      <w:r w:rsidR="0061478B" w:rsidRPr="0040545E">
        <w:rPr>
          <w:sz w:val="22"/>
          <w:szCs w:val="22"/>
        </w:rPr>
        <w:t xml:space="preserve"> </w:t>
      </w:r>
      <w:r w:rsidR="003D1552">
        <w:rPr>
          <w:sz w:val="22"/>
          <w:szCs w:val="22"/>
        </w:rPr>
        <w:t>Investor</w:t>
      </w:r>
      <w:r w:rsidR="0061478B" w:rsidRPr="0040545E">
        <w:rPr>
          <w:sz w:val="22"/>
          <w:szCs w:val="22"/>
        </w:rPr>
        <w:t xml:space="preserve"> agrees that it shall not make any disposition of </w:t>
      </w:r>
      <w:r w:rsidR="00E363AA">
        <w:rPr>
          <w:sz w:val="22"/>
          <w:szCs w:val="22"/>
        </w:rPr>
        <w:t>th</w:t>
      </w:r>
      <w:r w:rsidR="00823F02">
        <w:rPr>
          <w:sz w:val="22"/>
          <w:szCs w:val="22"/>
        </w:rPr>
        <w:t>is</w:t>
      </w:r>
      <w:r w:rsidR="00E363AA">
        <w:rPr>
          <w:sz w:val="22"/>
          <w:szCs w:val="22"/>
        </w:rPr>
        <w:t xml:space="preserve"> instrument or any underlying securities</w:t>
      </w:r>
      <w:r w:rsidR="0061478B" w:rsidRPr="0040545E">
        <w:rPr>
          <w:sz w:val="22"/>
          <w:szCs w:val="22"/>
        </w:rPr>
        <w:t xml:space="preserve"> to any of the Company’s competitors, as determined by the Company in good faith.</w:t>
      </w:r>
    </w:p>
    <w:p w14:paraId="52EC9561" w14:textId="6755422C" w:rsidR="0061478B" w:rsidRDefault="0061478B" w:rsidP="00823F02">
      <w:pPr>
        <w:pStyle w:val="Heading2"/>
        <w:numPr>
          <w:ilvl w:val="0"/>
          <w:numId w:val="0"/>
        </w:numPr>
        <w:ind w:firstLine="720"/>
        <w:jc w:val="both"/>
        <w:rPr>
          <w:sz w:val="22"/>
          <w:szCs w:val="22"/>
        </w:rPr>
      </w:pPr>
      <w:bookmarkStart w:id="3" w:name="_Toc367952099"/>
      <w:r>
        <w:rPr>
          <w:sz w:val="22"/>
          <w:szCs w:val="22"/>
        </w:rPr>
        <w:t>(</w:t>
      </w:r>
      <w:r w:rsidR="00823F02">
        <w:rPr>
          <w:sz w:val="22"/>
          <w:szCs w:val="22"/>
        </w:rPr>
        <w:t>e</w:t>
      </w:r>
      <w:r>
        <w:rPr>
          <w:sz w:val="22"/>
          <w:szCs w:val="22"/>
        </w:rPr>
        <w:t>)</w:t>
      </w:r>
      <w:r w:rsidRPr="0040545E">
        <w:rPr>
          <w:sz w:val="22"/>
          <w:szCs w:val="22"/>
        </w:rPr>
        <w:tab/>
      </w:r>
      <w:r w:rsidR="00564EBD">
        <w:rPr>
          <w:sz w:val="22"/>
          <w:szCs w:val="22"/>
        </w:rPr>
        <w:t>The</w:t>
      </w:r>
      <w:r w:rsidR="00E30361" w:rsidRPr="0029285A">
        <w:rPr>
          <w:sz w:val="22"/>
          <w:szCs w:val="22"/>
        </w:rPr>
        <w:t xml:space="preserve"> </w:t>
      </w:r>
      <w:r w:rsidR="00E30361" w:rsidRPr="001041FE">
        <w:rPr>
          <w:sz w:val="22"/>
          <w:szCs w:val="22"/>
        </w:rPr>
        <w:t>Investor understands and agrees that</w:t>
      </w:r>
      <w:r w:rsidR="00E30361" w:rsidRPr="007C3842">
        <w:rPr>
          <w:sz w:val="22"/>
          <w:szCs w:val="22"/>
        </w:rPr>
        <w:t xml:space="preserve"> </w:t>
      </w:r>
      <w:r w:rsidR="00E30361">
        <w:rPr>
          <w:sz w:val="22"/>
          <w:szCs w:val="22"/>
        </w:rPr>
        <w:t>t</w:t>
      </w:r>
      <w:r w:rsidR="00E30361" w:rsidRPr="00393ECD">
        <w:rPr>
          <w:sz w:val="22"/>
          <w:szCs w:val="22"/>
        </w:rPr>
        <w:t>he</w:t>
      </w:r>
      <w:r w:rsidR="00E30361" w:rsidRPr="0040545E">
        <w:rPr>
          <w:sz w:val="22"/>
          <w:szCs w:val="22"/>
        </w:rPr>
        <w:t xml:space="preserve"> Company will place the legend set forth below or a similar legend on any </w:t>
      </w:r>
      <w:r w:rsidR="0085527C">
        <w:rPr>
          <w:sz w:val="22"/>
          <w:szCs w:val="22"/>
        </w:rPr>
        <w:t>book entry</w:t>
      </w:r>
      <w:r w:rsidR="0085527C" w:rsidRPr="00D560EA">
        <w:rPr>
          <w:sz w:val="22"/>
          <w:szCs w:val="22"/>
        </w:rPr>
        <w:t xml:space="preserve"> or other form</w:t>
      </w:r>
      <w:r w:rsidR="0085527C">
        <w:rPr>
          <w:sz w:val="22"/>
          <w:szCs w:val="22"/>
        </w:rPr>
        <w:t>s</w:t>
      </w:r>
      <w:r w:rsidR="0085527C" w:rsidRPr="00D560EA">
        <w:rPr>
          <w:sz w:val="22"/>
          <w:szCs w:val="22"/>
        </w:rPr>
        <w:t xml:space="preserve"> of notation </w:t>
      </w:r>
      <w:r w:rsidR="00E30361" w:rsidRPr="0040545E">
        <w:rPr>
          <w:sz w:val="22"/>
          <w:szCs w:val="22"/>
        </w:rPr>
        <w:t xml:space="preserve">evidencing </w:t>
      </w:r>
      <w:r w:rsidR="00E30361" w:rsidRPr="00D560EA">
        <w:rPr>
          <w:sz w:val="22"/>
          <w:szCs w:val="22"/>
        </w:rPr>
        <w:t>th</w:t>
      </w:r>
      <w:r w:rsidR="00E30361">
        <w:rPr>
          <w:sz w:val="22"/>
          <w:szCs w:val="22"/>
        </w:rPr>
        <w:t>is</w:t>
      </w:r>
      <w:r w:rsidR="00E30361" w:rsidRPr="00D560EA">
        <w:rPr>
          <w:sz w:val="22"/>
          <w:szCs w:val="22"/>
        </w:rPr>
        <w:t xml:space="preserve"> Crowd Safe </w:t>
      </w:r>
      <w:r w:rsidR="00E30361">
        <w:rPr>
          <w:sz w:val="22"/>
          <w:szCs w:val="22"/>
        </w:rPr>
        <w:t xml:space="preserve">and </w:t>
      </w:r>
      <w:r w:rsidR="00E30361" w:rsidRPr="0040545E">
        <w:rPr>
          <w:sz w:val="22"/>
          <w:szCs w:val="22"/>
        </w:rPr>
        <w:t xml:space="preserve">any </w:t>
      </w:r>
      <w:r w:rsidR="0085527C">
        <w:rPr>
          <w:sz w:val="22"/>
          <w:szCs w:val="22"/>
        </w:rPr>
        <w:t xml:space="preserve">certificates evidencing the </w:t>
      </w:r>
      <w:r w:rsidR="00E30361">
        <w:rPr>
          <w:sz w:val="22"/>
          <w:szCs w:val="22"/>
        </w:rPr>
        <w:t>underlying s</w:t>
      </w:r>
      <w:r w:rsidR="00E30361" w:rsidRPr="0040545E">
        <w:rPr>
          <w:sz w:val="22"/>
          <w:szCs w:val="22"/>
        </w:rPr>
        <w:t xml:space="preserve">ecurities, together with any other legends that may be required by state or federal securities laws, the Company’s </w:t>
      </w:r>
      <w:r w:rsidR="00E30361">
        <w:rPr>
          <w:sz w:val="22"/>
          <w:szCs w:val="22"/>
        </w:rPr>
        <w:t>charter</w:t>
      </w:r>
      <w:r w:rsidR="00E30361" w:rsidRPr="0040545E">
        <w:rPr>
          <w:sz w:val="22"/>
          <w:szCs w:val="22"/>
        </w:rPr>
        <w:t xml:space="preserve"> or bylaws, any other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the Company or any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any third party</w:t>
      </w:r>
      <w:r w:rsidRPr="0040545E">
        <w:rPr>
          <w:sz w:val="22"/>
          <w:szCs w:val="22"/>
        </w:rPr>
        <w:t>:</w:t>
      </w:r>
      <w:bookmarkEnd w:id="3"/>
      <w:r w:rsidRPr="0040545E">
        <w:rPr>
          <w:sz w:val="22"/>
          <w:szCs w:val="22"/>
        </w:rPr>
        <w:t xml:space="preserve"> </w:t>
      </w:r>
    </w:p>
    <w:p w14:paraId="592B9250" w14:textId="77777777" w:rsidR="0061478B" w:rsidRPr="0061478B" w:rsidRDefault="0061478B" w:rsidP="00533EAE">
      <w:pPr>
        <w:spacing w:before="0"/>
      </w:pPr>
    </w:p>
    <w:p w14:paraId="7798EC5D" w14:textId="0B4881CB" w:rsidR="00233A22" w:rsidRDefault="00E30361" w:rsidP="0061478B">
      <w:pPr>
        <w:pStyle w:val="Legend"/>
        <w:shd w:val="clear" w:color="auto" w:fill="FFFFFF"/>
        <w:rPr>
          <w:sz w:val="22"/>
          <w:szCs w:val="22"/>
        </w:rPr>
      </w:pPr>
      <w:r w:rsidRPr="00E00CFC">
        <w:rPr>
          <w:sz w:val="22"/>
          <w:szCs w:val="22"/>
        </w:rPr>
        <w:t>THIS INSTRUMENT H</w:t>
      </w:r>
      <w:r>
        <w:rPr>
          <w:sz w:val="22"/>
          <w:szCs w:val="22"/>
        </w:rPr>
        <w:t>AS</w:t>
      </w:r>
      <w:r w:rsidRPr="00E00CFC">
        <w:rPr>
          <w:sz w:val="22"/>
          <w:szCs w:val="22"/>
        </w:rPr>
        <w:t xml:space="preserve"> </w:t>
      </w:r>
      <w:r>
        <w:rPr>
          <w:sz w:val="22"/>
          <w:szCs w:val="22"/>
        </w:rPr>
        <w:t>BEEN</w:t>
      </w:r>
      <w:r w:rsidRPr="007774EC">
        <w:rPr>
          <w:sz w:val="22"/>
          <w:szCs w:val="22"/>
        </w:rPr>
        <w:t xml:space="preserve"> </w:t>
      </w:r>
      <w:r>
        <w:rPr>
          <w:sz w:val="22"/>
          <w:szCs w:val="22"/>
        </w:rPr>
        <w:t xml:space="preserve">ISSUED PURSUANT TO SECTION 4(A)(6) OF </w:t>
      </w:r>
      <w:r w:rsidRPr="00E00CFC">
        <w:rPr>
          <w:sz w:val="22"/>
          <w:szCs w:val="22"/>
        </w:rPr>
        <w:t>THE SECURITIES ACT OF 1933, AS AMENDED (THE “</w:t>
      </w:r>
      <w:r w:rsidRPr="003C435C">
        <w:rPr>
          <w:sz w:val="22"/>
          <w:szCs w:val="22"/>
        </w:rPr>
        <w:t>SECURITIES ACT</w:t>
      </w:r>
      <w:r>
        <w:rPr>
          <w:sz w:val="22"/>
          <w:szCs w:val="22"/>
        </w:rPr>
        <w:t xml:space="preserve">”), AND NEITHER IT NOR ANY SECURITIES ISSUABLE PURSUANT HERETO HAVE </w:t>
      </w:r>
      <w:r w:rsidRPr="00E00CFC">
        <w:rPr>
          <w:sz w:val="22"/>
          <w:szCs w:val="22"/>
        </w:rPr>
        <w:t xml:space="preserve">BEEN REGISTERED UNDER THE SECURITIES ACT OR THE SECURITIES LAWS OF </w:t>
      </w:r>
      <w:r>
        <w:rPr>
          <w:sz w:val="22"/>
          <w:szCs w:val="22"/>
        </w:rPr>
        <w:t>ANY</w:t>
      </w:r>
      <w:r w:rsidRPr="00E00CFC">
        <w:rPr>
          <w:sz w:val="22"/>
          <w:szCs w:val="22"/>
        </w:rPr>
        <w:t xml:space="preserve"> STATE</w:t>
      </w:r>
      <w:r>
        <w:rPr>
          <w:sz w:val="22"/>
          <w:szCs w:val="22"/>
        </w:rPr>
        <w:t>.</w:t>
      </w:r>
      <w:r w:rsidRPr="00E00CFC">
        <w:rPr>
          <w:sz w:val="22"/>
          <w:szCs w:val="22"/>
        </w:rPr>
        <w:t xml:space="preserve">  THESE SECURITIES MAY NOT BE OFFERED, SOLD OR OTHERWISE TRANSFERRED, PLEDGED OR HYPOTHECATED EXCEPT AS PERMITTED </w:t>
      </w:r>
      <w:r>
        <w:rPr>
          <w:sz w:val="22"/>
          <w:szCs w:val="22"/>
        </w:rPr>
        <w:t>BY</w:t>
      </w:r>
      <w:r w:rsidRPr="00E00CFC">
        <w:rPr>
          <w:sz w:val="22"/>
          <w:szCs w:val="22"/>
        </w:rPr>
        <w:t xml:space="preserve"> </w:t>
      </w:r>
      <w:r>
        <w:rPr>
          <w:sz w:val="22"/>
          <w:szCs w:val="22"/>
        </w:rPr>
        <w:t xml:space="preserve">RULE 501 OF REGULATION CROWDFUNDING UNDER THE SECURITIES ACT </w:t>
      </w:r>
      <w:r w:rsidR="00233A22" w:rsidRPr="00E00CFC">
        <w:rPr>
          <w:sz w:val="22"/>
          <w:szCs w:val="22"/>
        </w:rPr>
        <w:t>AND APPLICABLE STATE SECURITIES LAWS</w:t>
      </w:r>
      <w:r w:rsidR="00366ADB">
        <w:rPr>
          <w:sz w:val="22"/>
          <w:szCs w:val="22"/>
        </w:rPr>
        <w:t xml:space="preserve"> </w:t>
      </w:r>
      <w:r>
        <w:rPr>
          <w:sz w:val="22"/>
          <w:szCs w:val="22"/>
        </w:rPr>
        <w:t xml:space="preserve">OR </w:t>
      </w:r>
      <w:r w:rsidRPr="00E00CFC">
        <w:rPr>
          <w:sz w:val="22"/>
          <w:szCs w:val="22"/>
        </w:rPr>
        <w:t>PURSUANT TO AN EFFECTIVE REGISTRATION STATEMENT</w:t>
      </w:r>
      <w:r w:rsidRPr="00B757AB">
        <w:rPr>
          <w:sz w:val="22"/>
          <w:szCs w:val="22"/>
        </w:rPr>
        <w:t xml:space="preserve"> </w:t>
      </w:r>
      <w:r w:rsidRPr="00E00CFC">
        <w:rPr>
          <w:sz w:val="22"/>
          <w:szCs w:val="22"/>
        </w:rPr>
        <w:t>OR EXEMPTION THEREFROM</w:t>
      </w:r>
      <w:r w:rsidR="00233A22">
        <w:rPr>
          <w:sz w:val="22"/>
          <w:szCs w:val="22"/>
        </w:rPr>
        <w:t>.</w:t>
      </w:r>
    </w:p>
    <w:p w14:paraId="5255F697" w14:textId="06BEB65B" w:rsidR="000D1359" w:rsidRPr="00E00CFC" w:rsidRDefault="00F4239E" w:rsidP="00A3764A">
      <w:pPr>
        <w:tabs>
          <w:tab w:val="left" w:pos="360"/>
        </w:tabs>
        <w:autoSpaceDE w:val="0"/>
        <w:autoSpaceDN w:val="0"/>
        <w:adjustRightInd w:val="0"/>
        <w:spacing w:after="240"/>
        <w:ind w:firstLine="0"/>
        <w:jc w:val="both"/>
        <w:outlineLvl w:val="0"/>
        <w:rPr>
          <w:b/>
          <w:i/>
          <w:sz w:val="22"/>
          <w:szCs w:val="22"/>
        </w:rPr>
      </w:pPr>
      <w:r>
        <w:rPr>
          <w:b/>
          <w:sz w:val="22"/>
          <w:szCs w:val="22"/>
        </w:rPr>
        <w:t>6</w:t>
      </w:r>
      <w:r w:rsidR="00EC0F44" w:rsidRPr="005714A0">
        <w:rPr>
          <w:b/>
          <w:sz w:val="22"/>
          <w:szCs w:val="22"/>
        </w:rPr>
        <w:t>.</w:t>
      </w:r>
      <w:r w:rsidR="008A2CEC" w:rsidRPr="00E00CFC">
        <w:rPr>
          <w:sz w:val="22"/>
          <w:szCs w:val="22"/>
        </w:rPr>
        <w:t xml:space="preserve">  </w:t>
      </w:r>
      <w:r w:rsidR="00EC0F44" w:rsidRPr="00E00CFC">
        <w:rPr>
          <w:b/>
          <w:i/>
          <w:sz w:val="22"/>
          <w:szCs w:val="22"/>
        </w:rPr>
        <w:t>Miscellaneous</w:t>
      </w:r>
    </w:p>
    <w:p w14:paraId="46E1E701" w14:textId="77777777" w:rsidR="00813D25" w:rsidRDefault="00D41335" w:rsidP="00813D25">
      <w:pPr>
        <w:widowControl w:val="0"/>
        <w:numPr>
          <w:ilvl w:val="1"/>
          <w:numId w:val="23"/>
        </w:numPr>
        <w:autoSpaceDE w:val="0"/>
        <w:autoSpaceDN w:val="0"/>
        <w:adjustRightInd w:val="0"/>
        <w:spacing w:before="0" w:after="240"/>
        <w:ind w:left="0" w:firstLine="720"/>
        <w:jc w:val="both"/>
        <w:rPr>
          <w:sz w:val="22"/>
          <w:szCs w:val="22"/>
        </w:rPr>
      </w:pPr>
      <w:r>
        <w:rPr>
          <w:sz w:val="22"/>
          <w:szCs w:val="22"/>
        </w:rPr>
        <w:t xml:space="preserve">The </w:t>
      </w:r>
      <w:r w:rsidR="00813D25">
        <w:rPr>
          <w:sz w:val="22"/>
          <w:szCs w:val="22"/>
        </w:rPr>
        <w:t xml:space="preserve">Investor agrees to take any and all actions determined </w:t>
      </w:r>
      <w:r w:rsidR="007273EA">
        <w:rPr>
          <w:sz w:val="22"/>
          <w:szCs w:val="22"/>
        </w:rPr>
        <w:t xml:space="preserve">in good faith </w:t>
      </w:r>
      <w:r w:rsidR="00813D25">
        <w:rPr>
          <w:sz w:val="22"/>
          <w:szCs w:val="22"/>
        </w:rPr>
        <w:t>by the Company’s board of directors to be advisable to reorganize this instrument and any shares of Capital Stock issued pursuant to the terms of this instrument into a special</w:t>
      </w:r>
      <w:r>
        <w:rPr>
          <w:sz w:val="22"/>
          <w:szCs w:val="22"/>
        </w:rPr>
        <w:t xml:space="preserve"> </w:t>
      </w:r>
      <w:r w:rsidR="00813D25">
        <w:rPr>
          <w:sz w:val="22"/>
          <w:szCs w:val="22"/>
        </w:rPr>
        <w:t>purpose vehicle or other entity designed to aggregate the interests of holders of Crowd Safes.</w:t>
      </w:r>
    </w:p>
    <w:p w14:paraId="6367FDA2" w14:textId="77777777" w:rsidR="0094024D" w:rsidRPr="00E00CFC" w:rsidRDefault="00F473F4" w:rsidP="000D1359">
      <w:pPr>
        <w:widowControl w:val="0"/>
        <w:numPr>
          <w:ilvl w:val="1"/>
          <w:numId w:val="23"/>
        </w:numPr>
        <w:autoSpaceDE w:val="0"/>
        <w:autoSpaceDN w:val="0"/>
        <w:adjustRightInd w:val="0"/>
        <w:spacing w:before="0" w:after="240"/>
        <w:ind w:left="0" w:firstLine="720"/>
        <w:jc w:val="both"/>
        <w:rPr>
          <w:sz w:val="22"/>
          <w:szCs w:val="22"/>
        </w:rPr>
      </w:pPr>
      <w:r w:rsidRPr="00E00CFC">
        <w:rPr>
          <w:sz w:val="22"/>
          <w:szCs w:val="22"/>
        </w:rPr>
        <w:t>Any provision of this instrument</w:t>
      </w:r>
      <w:r w:rsidR="00EB642C" w:rsidRPr="00E00CFC">
        <w:rPr>
          <w:sz w:val="22"/>
          <w:szCs w:val="22"/>
        </w:rPr>
        <w:t xml:space="preserve"> may be amended, waived or modified only upon the written consent of the Company</w:t>
      </w:r>
      <w:r w:rsidR="003B0797" w:rsidRPr="00E00CFC">
        <w:rPr>
          <w:sz w:val="22"/>
          <w:szCs w:val="22"/>
        </w:rPr>
        <w:t xml:space="preserve"> and the </w:t>
      </w:r>
      <w:r w:rsidR="008C2626" w:rsidRPr="00E00CFC">
        <w:rPr>
          <w:sz w:val="22"/>
          <w:szCs w:val="22"/>
        </w:rPr>
        <w:t>Investor</w:t>
      </w:r>
      <w:r w:rsidR="00861B01" w:rsidRPr="00E00CFC">
        <w:rPr>
          <w:sz w:val="22"/>
          <w:szCs w:val="22"/>
        </w:rPr>
        <w:t>.</w:t>
      </w:r>
      <w:r w:rsidR="00442117" w:rsidRPr="00E00CFC">
        <w:rPr>
          <w:sz w:val="22"/>
          <w:szCs w:val="22"/>
        </w:rPr>
        <w:t xml:space="preserve">  </w:t>
      </w:r>
    </w:p>
    <w:p w14:paraId="277A1BC0" w14:textId="77777777" w:rsidR="00BE7250" w:rsidRPr="00E00CFC" w:rsidRDefault="00EC0F44"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c</w:t>
      </w:r>
      <w:r w:rsidRPr="00E00CFC">
        <w:rPr>
          <w:sz w:val="22"/>
          <w:szCs w:val="22"/>
        </w:rPr>
        <w:t>)</w:t>
      </w:r>
      <w:r w:rsidRPr="00E00CFC">
        <w:rPr>
          <w:sz w:val="22"/>
          <w:szCs w:val="22"/>
        </w:rPr>
        <w:tab/>
      </w:r>
      <w:r w:rsidR="007866A3" w:rsidRPr="00E00CFC">
        <w:rPr>
          <w:sz w:val="22"/>
          <w:szCs w:val="22"/>
        </w:rPr>
        <w:t xml:space="preserve">Any notice required or permitted by this instrument </w:t>
      </w:r>
      <w:r w:rsidR="002B4850" w:rsidRPr="00E00CFC">
        <w:rPr>
          <w:sz w:val="22"/>
          <w:szCs w:val="22"/>
        </w:rPr>
        <w:t>will</w:t>
      </w:r>
      <w:r w:rsidR="007866A3" w:rsidRPr="00E00CFC">
        <w:rPr>
          <w:sz w:val="22"/>
          <w:szCs w:val="22"/>
        </w:rPr>
        <w:t xml:space="preserve"> be deemed sufficient when delivered personally or by overnight courier or sent by email</w:t>
      </w:r>
      <w:r w:rsidR="0074081B" w:rsidRPr="00E00CFC">
        <w:rPr>
          <w:sz w:val="22"/>
          <w:szCs w:val="22"/>
        </w:rPr>
        <w:t xml:space="preserve"> to the relevant address listed on the signature page</w:t>
      </w:r>
      <w:r w:rsidR="007866A3" w:rsidRPr="00E00CFC">
        <w:rPr>
          <w:sz w:val="22"/>
          <w:szCs w:val="22"/>
        </w:rPr>
        <w:t xml:space="preserve">, or 48 hours after being deposited in the U.S. mail as certified or registered mail with postage prepaid, addressed to the party to be notified at such party’s address </w:t>
      </w:r>
      <w:r w:rsidR="00795EE8" w:rsidRPr="00E00CFC">
        <w:rPr>
          <w:sz w:val="22"/>
          <w:szCs w:val="22"/>
        </w:rPr>
        <w:t>listed</w:t>
      </w:r>
      <w:r w:rsidR="007866A3" w:rsidRPr="00E00CFC">
        <w:rPr>
          <w:sz w:val="22"/>
          <w:szCs w:val="22"/>
        </w:rPr>
        <w:t xml:space="preserve"> on the signature page, as subsequently modified by written notice.</w:t>
      </w:r>
    </w:p>
    <w:p w14:paraId="12875DCF" w14:textId="77777777" w:rsidR="00E23215" w:rsidRPr="00E00CFC" w:rsidRDefault="007866A3"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d</w:t>
      </w:r>
      <w:r w:rsidRPr="00E00CFC">
        <w:rPr>
          <w:sz w:val="22"/>
          <w:szCs w:val="22"/>
        </w:rPr>
        <w:t>)</w:t>
      </w:r>
      <w:r w:rsidRPr="00E00CFC">
        <w:rPr>
          <w:sz w:val="22"/>
          <w:szCs w:val="22"/>
        </w:rPr>
        <w:tab/>
      </w:r>
      <w:r w:rsidR="00A57DE9" w:rsidRPr="00E00CFC">
        <w:rPr>
          <w:sz w:val="22"/>
          <w:szCs w:val="22"/>
        </w:rPr>
        <w:t xml:space="preserve">The Investor is not entitled, as a holder of this instrument, to vote or receive dividends or be deemed the holder of </w:t>
      </w:r>
      <w:r w:rsidR="00813D25">
        <w:rPr>
          <w:sz w:val="22"/>
          <w:szCs w:val="22"/>
        </w:rPr>
        <w:t>C</w:t>
      </w:r>
      <w:r w:rsidR="00A57DE9" w:rsidRPr="00E00CFC">
        <w:rPr>
          <w:sz w:val="22"/>
          <w:szCs w:val="22"/>
        </w:rPr>
        <w:t xml:space="preserve">apital </w:t>
      </w:r>
      <w:r w:rsidR="00813D25">
        <w:rPr>
          <w:sz w:val="22"/>
          <w:szCs w:val="22"/>
        </w:rPr>
        <w:t>S</w:t>
      </w:r>
      <w:r w:rsidR="00A57DE9" w:rsidRPr="00E00CF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EC0F44" w:rsidRPr="00E00CFC">
        <w:rPr>
          <w:sz w:val="22"/>
          <w:szCs w:val="22"/>
        </w:rPr>
        <w:t>.</w:t>
      </w:r>
    </w:p>
    <w:p w14:paraId="56DC34EC" w14:textId="78C2C111" w:rsidR="00805EED" w:rsidRPr="00E00CFC" w:rsidRDefault="00C002E9" w:rsidP="00A3764A">
      <w:pPr>
        <w:tabs>
          <w:tab w:val="left" w:pos="360"/>
        </w:tabs>
        <w:autoSpaceDE w:val="0"/>
        <w:autoSpaceDN w:val="0"/>
        <w:adjustRightInd w:val="0"/>
        <w:spacing w:after="240"/>
        <w:jc w:val="both"/>
        <w:rPr>
          <w:sz w:val="22"/>
          <w:szCs w:val="22"/>
        </w:rPr>
      </w:pPr>
      <w:r w:rsidRPr="00E00CFC">
        <w:rPr>
          <w:sz w:val="22"/>
          <w:szCs w:val="22"/>
        </w:rPr>
        <w:t>(</w:t>
      </w:r>
      <w:r w:rsidR="007273EA">
        <w:rPr>
          <w:sz w:val="22"/>
          <w:szCs w:val="22"/>
        </w:rPr>
        <w:t>e</w:t>
      </w:r>
      <w:r w:rsidRPr="00E00CFC">
        <w:rPr>
          <w:sz w:val="22"/>
          <w:szCs w:val="22"/>
        </w:rPr>
        <w:t>)</w:t>
      </w:r>
      <w:r w:rsidRPr="00E00CFC">
        <w:rPr>
          <w:sz w:val="22"/>
          <w:szCs w:val="22"/>
        </w:rPr>
        <w:tab/>
      </w:r>
      <w:r w:rsidR="00A57DE9" w:rsidRPr="00E00CFC">
        <w:rPr>
          <w:sz w:val="22"/>
          <w:szCs w:val="22"/>
        </w:rPr>
        <w:t xml:space="preserve">Neither this instrument nor the rights contained herein may be assigned, by operation of law or otherwise, by either party without the prior written consent of the other; </w:t>
      </w:r>
      <w:r w:rsidR="00A57DE9" w:rsidRPr="00E00CFC">
        <w:rPr>
          <w:i/>
          <w:sz w:val="22"/>
          <w:szCs w:val="22"/>
        </w:rPr>
        <w:t>provided, however</w:t>
      </w:r>
      <w:r w:rsidR="00A57DE9" w:rsidRPr="00E00CFC">
        <w:rPr>
          <w:sz w:val="22"/>
          <w:szCs w:val="22"/>
        </w:rPr>
        <w:t xml:space="preserve">, that this instrument and/or the rights contained herein may be assigned without the Company’s consent by the Investor </w:t>
      </w:r>
      <w:r w:rsidR="00A57DE9" w:rsidRPr="00E00CF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00A57DE9" w:rsidRPr="00E00CFC">
        <w:rPr>
          <w:sz w:val="22"/>
          <w:szCs w:val="22"/>
        </w:rPr>
        <w:t xml:space="preserve">; and </w:t>
      </w:r>
      <w:r w:rsidR="00A57DE9" w:rsidRPr="00E00CFC">
        <w:rPr>
          <w:i/>
          <w:sz w:val="22"/>
          <w:szCs w:val="22"/>
        </w:rPr>
        <w:t>provided, further</w:t>
      </w:r>
      <w:r w:rsidR="00A57DE9" w:rsidRPr="00E00CFC">
        <w:rPr>
          <w:sz w:val="22"/>
          <w:szCs w:val="22"/>
        </w:rPr>
        <w:t>, that the Company may assign this instrument in whole, without the consent of the Investor, in connection with a reincorporation to change the Company’s domicile</w:t>
      </w:r>
      <w:r w:rsidR="00347B1F" w:rsidRPr="00E00CFC">
        <w:rPr>
          <w:sz w:val="22"/>
          <w:szCs w:val="22"/>
        </w:rPr>
        <w:t>.</w:t>
      </w:r>
      <w:r w:rsidR="00B160B2" w:rsidRPr="00E00CFC">
        <w:rPr>
          <w:sz w:val="22"/>
          <w:szCs w:val="22"/>
        </w:rPr>
        <w:t xml:space="preserve">  </w:t>
      </w:r>
    </w:p>
    <w:p w14:paraId="58E72F34" w14:textId="77777777" w:rsidR="00E23215" w:rsidRPr="00E00CFC" w:rsidRDefault="00D25E25" w:rsidP="00A3764A">
      <w:pPr>
        <w:tabs>
          <w:tab w:val="left" w:pos="360"/>
        </w:tabs>
        <w:autoSpaceDE w:val="0"/>
        <w:autoSpaceDN w:val="0"/>
        <w:adjustRightInd w:val="0"/>
        <w:spacing w:before="0" w:after="240"/>
        <w:jc w:val="both"/>
        <w:rPr>
          <w:sz w:val="22"/>
          <w:szCs w:val="22"/>
        </w:rPr>
      </w:pPr>
      <w:r w:rsidRPr="00E00CFC">
        <w:rPr>
          <w:rStyle w:val="DeltaViewDeletion"/>
          <w:strike w:val="0"/>
          <w:color w:val="auto"/>
          <w:sz w:val="22"/>
          <w:szCs w:val="22"/>
        </w:rPr>
        <w:t>(</w:t>
      </w:r>
      <w:r w:rsidR="007273EA">
        <w:rPr>
          <w:rStyle w:val="DeltaViewDeletion"/>
          <w:strike w:val="0"/>
          <w:color w:val="auto"/>
          <w:sz w:val="22"/>
          <w:szCs w:val="22"/>
        </w:rPr>
        <w:t>f</w:t>
      </w:r>
      <w:r w:rsidRPr="00E00CFC">
        <w:rPr>
          <w:rStyle w:val="DeltaViewDeletion"/>
          <w:strike w:val="0"/>
          <w:color w:val="auto"/>
          <w:sz w:val="22"/>
          <w:szCs w:val="22"/>
        </w:rPr>
        <w:t>)</w:t>
      </w:r>
      <w:r w:rsidRPr="00E00CFC">
        <w:rPr>
          <w:rStyle w:val="DeltaViewDeletion"/>
          <w:strike w:val="0"/>
          <w:color w:val="auto"/>
          <w:sz w:val="22"/>
          <w:szCs w:val="22"/>
        </w:rPr>
        <w:tab/>
      </w:r>
      <w:r w:rsidR="001D7B14" w:rsidRPr="00E00CFC">
        <w:rPr>
          <w:sz w:val="22"/>
          <w:szCs w:val="22"/>
        </w:rPr>
        <w:t xml:space="preserve">In the event any one or more of the </w:t>
      </w:r>
      <w:r w:rsidR="00C9466B">
        <w:rPr>
          <w:sz w:val="22"/>
          <w:szCs w:val="22"/>
        </w:rPr>
        <w:t xml:space="preserve">terms or </w:t>
      </w:r>
      <w:r w:rsidR="001D7B14" w:rsidRPr="00E00CFC">
        <w:rPr>
          <w:sz w:val="22"/>
          <w:szCs w:val="22"/>
        </w:rPr>
        <w:t xml:space="preserve">provisions of this </w:t>
      </w:r>
      <w:r w:rsidR="00775FCF" w:rsidRPr="00E00CFC">
        <w:rPr>
          <w:sz w:val="22"/>
          <w:szCs w:val="22"/>
        </w:rPr>
        <w:t>instrument</w:t>
      </w:r>
      <w:r w:rsidR="001D7B14" w:rsidRPr="00E00CFC">
        <w:rPr>
          <w:sz w:val="22"/>
          <w:szCs w:val="22"/>
        </w:rPr>
        <w:t xml:space="preserve"> </w:t>
      </w:r>
      <w:r w:rsidR="00830210" w:rsidRPr="00E00CFC">
        <w:rPr>
          <w:sz w:val="22"/>
          <w:szCs w:val="22"/>
        </w:rPr>
        <w:t>is</w:t>
      </w:r>
      <w:r w:rsidR="001D7B14" w:rsidRPr="00E00CFC">
        <w:rPr>
          <w:sz w:val="22"/>
          <w:szCs w:val="22"/>
        </w:rPr>
        <w:t xml:space="preserve"> for any reason held to be invalid, illegal or unenforceable, in whole or in part or in any respect, or in the event that any one or more of the </w:t>
      </w:r>
      <w:r w:rsidR="00C9466B">
        <w:rPr>
          <w:sz w:val="22"/>
          <w:szCs w:val="22"/>
        </w:rPr>
        <w:t xml:space="preserve">terms or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operate or would prospectively operate to invalidate this </w:t>
      </w:r>
      <w:r w:rsidR="00700492" w:rsidRPr="00E00CFC">
        <w:rPr>
          <w:sz w:val="22"/>
          <w:szCs w:val="22"/>
        </w:rPr>
        <w:t>instrument</w:t>
      </w:r>
      <w:r w:rsidR="001D7B14" w:rsidRPr="00E00CFC">
        <w:rPr>
          <w:sz w:val="22"/>
          <w:szCs w:val="22"/>
        </w:rPr>
        <w:t xml:space="preserve">, then such </w:t>
      </w:r>
      <w:r w:rsidR="00C9466B">
        <w:rPr>
          <w:sz w:val="22"/>
          <w:szCs w:val="22"/>
        </w:rPr>
        <w:t xml:space="preserve">term(s) or </w:t>
      </w:r>
      <w:r w:rsidR="001D7B14" w:rsidRPr="00E00CFC">
        <w:rPr>
          <w:sz w:val="22"/>
          <w:szCs w:val="22"/>
        </w:rPr>
        <w:t xml:space="preserve">provision(s) only </w:t>
      </w:r>
      <w:r w:rsidR="00830210" w:rsidRPr="00E00CFC">
        <w:rPr>
          <w:sz w:val="22"/>
          <w:szCs w:val="22"/>
        </w:rPr>
        <w:t>will</w:t>
      </w:r>
      <w:r w:rsidR="001D7B14" w:rsidRPr="00E00CFC">
        <w:rPr>
          <w:sz w:val="22"/>
          <w:szCs w:val="22"/>
        </w:rPr>
        <w:t xml:space="preserve"> be deemed null and void and </w:t>
      </w:r>
      <w:r w:rsidR="00830210" w:rsidRPr="00E00CFC">
        <w:rPr>
          <w:sz w:val="22"/>
          <w:szCs w:val="22"/>
        </w:rPr>
        <w:t>will</w:t>
      </w:r>
      <w:r w:rsidR="001D7B14" w:rsidRPr="00E00CFC">
        <w:rPr>
          <w:sz w:val="22"/>
          <w:szCs w:val="22"/>
        </w:rPr>
        <w:t xml:space="preserve"> not affect any other </w:t>
      </w:r>
      <w:r w:rsidR="00C9466B">
        <w:rPr>
          <w:sz w:val="22"/>
          <w:szCs w:val="22"/>
        </w:rPr>
        <w:t xml:space="preserve">term or </w:t>
      </w:r>
      <w:r w:rsidR="001D7B14" w:rsidRPr="00E00CFC">
        <w:rPr>
          <w:sz w:val="22"/>
          <w:szCs w:val="22"/>
        </w:rPr>
        <w:t xml:space="preserve">provision of this </w:t>
      </w:r>
      <w:r w:rsidR="00700492" w:rsidRPr="00E00CFC">
        <w:rPr>
          <w:sz w:val="22"/>
          <w:szCs w:val="22"/>
        </w:rPr>
        <w:t>instrument</w:t>
      </w:r>
      <w:r w:rsidR="001D7B14" w:rsidRPr="00E00CFC">
        <w:rPr>
          <w:sz w:val="22"/>
          <w:szCs w:val="22"/>
        </w:rPr>
        <w:t xml:space="preserve"> and the remaining </w:t>
      </w:r>
      <w:r w:rsidR="00C9466B">
        <w:rPr>
          <w:sz w:val="22"/>
          <w:szCs w:val="22"/>
        </w:rPr>
        <w:t xml:space="preserve">terms and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w:t>
      </w:r>
      <w:r w:rsidR="00830210" w:rsidRPr="00E00CFC">
        <w:rPr>
          <w:sz w:val="22"/>
          <w:szCs w:val="22"/>
        </w:rPr>
        <w:t>will</w:t>
      </w:r>
      <w:r w:rsidR="001D7B14" w:rsidRPr="00E00CFC">
        <w:rPr>
          <w:sz w:val="22"/>
          <w:szCs w:val="22"/>
        </w:rPr>
        <w:t xml:space="preserve"> remain operative and in full force and effect and </w:t>
      </w:r>
      <w:r w:rsidR="00830210" w:rsidRPr="00E00CFC">
        <w:rPr>
          <w:sz w:val="22"/>
          <w:szCs w:val="22"/>
        </w:rPr>
        <w:t xml:space="preserve">will not </w:t>
      </w:r>
      <w:r w:rsidR="001D7B14" w:rsidRPr="00E00CFC">
        <w:rPr>
          <w:sz w:val="22"/>
          <w:szCs w:val="22"/>
        </w:rPr>
        <w:t xml:space="preserve">be affected, prejudiced, or disturbed thereby. </w:t>
      </w:r>
    </w:p>
    <w:p w14:paraId="380AC631" w14:textId="77777777" w:rsidR="00E23215" w:rsidRPr="00E00CFC" w:rsidRDefault="00E23215" w:rsidP="00A3764A">
      <w:pPr>
        <w:autoSpaceDE w:val="0"/>
        <w:autoSpaceDN w:val="0"/>
        <w:adjustRightInd w:val="0"/>
        <w:spacing w:before="0" w:after="240"/>
        <w:jc w:val="both"/>
        <w:rPr>
          <w:sz w:val="22"/>
          <w:szCs w:val="22"/>
        </w:rPr>
      </w:pPr>
    </w:p>
    <w:p w14:paraId="1E7EB299" w14:textId="467DE7D9" w:rsidR="00BC46CD" w:rsidRPr="00E00CFC" w:rsidRDefault="0024582E"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g</w:t>
      </w:r>
      <w:r w:rsidRPr="00E00CFC">
        <w:rPr>
          <w:sz w:val="22"/>
          <w:szCs w:val="22"/>
        </w:rPr>
        <w:t>)</w:t>
      </w:r>
      <w:r w:rsidRPr="00E00CFC">
        <w:rPr>
          <w:sz w:val="22"/>
          <w:szCs w:val="22"/>
        </w:rPr>
        <w:tab/>
      </w:r>
      <w:r w:rsidR="005B215C" w:rsidRPr="00E00CFC">
        <w:rPr>
          <w:sz w:val="22"/>
          <w:szCs w:val="22"/>
        </w:rPr>
        <w:t xml:space="preserve">All rights and obligations hereunder will be governed by the laws of the State of </w:t>
      </w:r>
      <w:r w:rsidR="00D2772C">
        <w:rPr>
          <w:sz w:val="22"/>
        </w:rPr>
        <w:t>New York</w:t>
      </w:r>
      <w:r w:rsidR="005B215C" w:rsidRPr="00E00CFC">
        <w:rPr>
          <w:sz w:val="22"/>
          <w:szCs w:val="22"/>
        </w:rPr>
        <w:t>, without regard to the conflicts of law provisions of such jurisdiction</w:t>
      </w:r>
      <w:r w:rsidR="001D7B14" w:rsidRPr="00E00CFC">
        <w:rPr>
          <w:sz w:val="22"/>
          <w:szCs w:val="22"/>
        </w:rPr>
        <w:t>.</w:t>
      </w:r>
    </w:p>
    <w:p w14:paraId="0D22E996" w14:textId="1BDD7B50" w:rsidR="00E23215" w:rsidRPr="00E00CFC" w:rsidRDefault="00BC46CD"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h</w:t>
      </w:r>
      <w:r w:rsidRPr="00E00CFC">
        <w:rPr>
          <w:sz w:val="22"/>
          <w:szCs w:val="22"/>
        </w:rPr>
        <w:t>)</w:t>
      </w:r>
      <w:r w:rsidRPr="00E00CFC">
        <w:rPr>
          <w:sz w:val="22"/>
          <w:szCs w:val="22"/>
        </w:rPr>
        <w:tab/>
      </w:r>
      <w:r w:rsidR="006509C8" w:rsidRPr="00E00CFC">
        <w:rPr>
          <w:sz w:val="22"/>
          <w:szCs w:val="22"/>
        </w:rPr>
        <w:t xml:space="preserve">Any </w:t>
      </w:r>
      <w:r w:rsidR="00A2750C" w:rsidRPr="00E00CFC">
        <w:rPr>
          <w:sz w:val="22"/>
          <w:szCs w:val="22"/>
        </w:rPr>
        <w:t xml:space="preserve">dispute, </w:t>
      </w:r>
      <w:r w:rsidR="006509C8" w:rsidRPr="00E00CFC">
        <w:rPr>
          <w:sz w:val="22"/>
          <w:szCs w:val="22"/>
        </w:rPr>
        <w:t>controversy or claim arising out of</w:t>
      </w:r>
      <w:r w:rsidR="00A2750C" w:rsidRPr="00E00CFC">
        <w:rPr>
          <w:sz w:val="22"/>
          <w:szCs w:val="22"/>
        </w:rPr>
        <w:t xml:space="preserve">, </w:t>
      </w:r>
      <w:r w:rsidR="006509C8" w:rsidRPr="00E00CFC">
        <w:rPr>
          <w:sz w:val="22"/>
          <w:szCs w:val="22"/>
        </w:rPr>
        <w:t>relating to</w:t>
      </w:r>
      <w:r w:rsidR="00A2750C" w:rsidRPr="00E00CFC">
        <w:rPr>
          <w:sz w:val="22"/>
          <w:szCs w:val="22"/>
        </w:rPr>
        <w:t xml:space="preserve"> or in connection with</w:t>
      </w:r>
      <w:r w:rsidR="006509C8" w:rsidRPr="00E00CFC">
        <w:rPr>
          <w:sz w:val="22"/>
          <w:szCs w:val="22"/>
        </w:rPr>
        <w:t xml:space="preserve"> this </w:t>
      </w:r>
      <w:r w:rsidR="0020281A">
        <w:rPr>
          <w:sz w:val="22"/>
          <w:szCs w:val="22"/>
        </w:rPr>
        <w:t>instrument</w:t>
      </w:r>
      <w:r w:rsidR="006509C8" w:rsidRPr="00E00CFC">
        <w:rPr>
          <w:sz w:val="22"/>
          <w:szCs w:val="22"/>
        </w:rPr>
        <w:t xml:space="preserve">, </w:t>
      </w:r>
      <w:r w:rsidR="00A2750C" w:rsidRPr="00E00CFC">
        <w:rPr>
          <w:sz w:val="22"/>
          <w:szCs w:val="22"/>
        </w:rPr>
        <w:t xml:space="preserve">including </w:t>
      </w:r>
      <w:r w:rsidR="006509C8" w:rsidRPr="00E00CFC">
        <w:rPr>
          <w:sz w:val="22"/>
          <w:szCs w:val="22"/>
        </w:rPr>
        <w:t xml:space="preserve">the breach </w:t>
      </w:r>
      <w:r w:rsidR="00A2750C" w:rsidRPr="00E00CFC">
        <w:rPr>
          <w:sz w:val="22"/>
          <w:szCs w:val="22"/>
        </w:rPr>
        <w:t>or validity thereof</w:t>
      </w:r>
      <w:r w:rsidR="006509C8" w:rsidRPr="00E00CFC">
        <w:rPr>
          <w:sz w:val="22"/>
          <w:szCs w:val="22"/>
        </w:rPr>
        <w:t>, shall be determined by final and binding arbitration administered by the American Arbitration Association (</w:t>
      </w:r>
      <w:r w:rsidR="008F6C38">
        <w:rPr>
          <w:sz w:val="22"/>
          <w:szCs w:val="22"/>
        </w:rPr>
        <w:t xml:space="preserve">the </w:t>
      </w:r>
      <w:r w:rsidR="006509C8" w:rsidRPr="00E00CFC">
        <w:rPr>
          <w:sz w:val="22"/>
          <w:szCs w:val="22"/>
        </w:rPr>
        <w:t>“</w:t>
      </w:r>
      <w:r w:rsidR="006509C8" w:rsidRPr="00395EF5">
        <w:rPr>
          <w:b/>
          <w:sz w:val="22"/>
          <w:szCs w:val="22"/>
        </w:rPr>
        <w:t>AAA</w:t>
      </w:r>
      <w:r w:rsidR="006509C8" w:rsidRPr="00E00CFC">
        <w:rPr>
          <w:sz w:val="22"/>
          <w:szCs w:val="22"/>
        </w:rPr>
        <w:t>”) under its Commercial Arbitration Rules and Mediation Procedures (“</w:t>
      </w:r>
      <w:r w:rsidR="006509C8" w:rsidRPr="00395EF5">
        <w:rPr>
          <w:b/>
          <w:sz w:val="22"/>
          <w:szCs w:val="22"/>
        </w:rPr>
        <w:t>Commercial Rules</w:t>
      </w:r>
      <w:r w:rsidR="006509C8" w:rsidRPr="00E00CFC">
        <w:rPr>
          <w:sz w:val="22"/>
          <w:szCs w:val="22"/>
        </w:rPr>
        <w:t xml:space="preserve">”). </w:t>
      </w:r>
      <w:r w:rsidR="000E375D">
        <w:rPr>
          <w:sz w:val="22"/>
          <w:szCs w:val="22"/>
        </w:rPr>
        <w:t xml:space="preserve"> </w:t>
      </w:r>
      <w:r w:rsidR="006509C8" w:rsidRPr="00E00CFC">
        <w:rPr>
          <w:sz w:val="22"/>
          <w:szCs w:val="22"/>
        </w:rPr>
        <w:t xml:space="preserve">The award rendered by the arbitrator shall be final, non-appealable and binding on the parties and may be entered and enforced in any court having jurisdiction. </w:t>
      </w:r>
      <w:r w:rsidR="00021196">
        <w:rPr>
          <w:sz w:val="22"/>
          <w:szCs w:val="22"/>
        </w:rPr>
        <w:t xml:space="preserve"> </w:t>
      </w:r>
      <w:r w:rsidR="006509C8" w:rsidRPr="00E00CFC">
        <w:rPr>
          <w:sz w:val="22"/>
          <w:szCs w:val="22"/>
        </w:rPr>
        <w:t>There shall be one arbitrator agreed to by the parties within twenty (20) days of receipt by respondent of the request for arbitration or</w:t>
      </w:r>
      <w:r w:rsidR="00A2750C" w:rsidRPr="00E00CFC">
        <w:rPr>
          <w:sz w:val="22"/>
          <w:szCs w:val="22"/>
        </w:rPr>
        <w:t>,</w:t>
      </w:r>
      <w:r w:rsidR="006509C8" w:rsidRPr="00E00CFC">
        <w:rPr>
          <w:sz w:val="22"/>
          <w:szCs w:val="22"/>
        </w:rPr>
        <w:t xml:space="preserve"> in default thereof</w:t>
      </w:r>
      <w:r w:rsidR="00A2750C" w:rsidRPr="00E00CFC">
        <w:rPr>
          <w:sz w:val="22"/>
          <w:szCs w:val="22"/>
        </w:rPr>
        <w:t>,</w:t>
      </w:r>
      <w:r w:rsidR="006509C8" w:rsidRPr="00E00CFC">
        <w:rPr>
          <w:sz w:val="22"/>
          <w:szCs w:val="22"/>
        </w:rPr>
        <w:t xml:space="preserve"> appointed by the AAA in accordance with its Commercial Rules. </w:t>
      </w:r>
      <w:r w:rsidR="00021196">
        <w:rPr>
          <w:sz w:val="22"/>
          <w:szCs w:val="22"/>
        </w:rPr>
        <w:t xml:space="preserve"> </w:t>
      </w:r>
      <w:r w:rsidR="006509C8" w:rsidRPr="00E00CFC">
        <w:rPr>
          <w:sz w:val="22"/>
          <w:szCs w:val="22"/>
        </w:rPr>
        <w:t xml:space="preserve">The place of arbitration shall be </w:t>
      </w:r>
      <w:r w:rsidR="00D2772C" w:rsidRPr="00D2772C">
        <w:rPr>
          <w:sz w:val="22"/>
        </w:rPr>
        <w:t>New York</w:t>
      </w:r>
      <w:r w:rsidR="00A2750C" w:rsidRPr="00D2772C">
        <w:rPr>
          <w:sz w:val="22"/>
          <w:szCs w:val="22"/>
        </w:rPr>
        <w:t xml:space="preserve">, </w:t>
      </w:r>
      <w:r w:rsidR="00D2772C" w:rsidRPr="00D2772C">
        <w:rPr>
          <w:sz w:val="22"/>
        </w:rPr>
        <w:t>New York</w:t>
      </w:r>
      <w:r w:rsidR="006509C8" w:rsidRPr="00E00CFC">
        <w:rPr>
          <w:sz w:val="22"/>
          <w:szCs w:val="22"/>
        </w:rPr>
        <w:t xml:space="preserve">. </w:t>
      </w:r>
      <w:r w:rsidR="000E375D">
        <w:rPr>
          <w:sz w:val="22"/>
          <w:szCs w:val="22"/>
        </w:rPr>
        <w:t xml:space="preserve"> </w:t>
      </w:r>
      <w:r w:rsidR="006509C8" w:rsidRPr="00E00CFC">
        <w:rPr>
          <w:sz w:val="22"/>
          <w:szCs w:val="22"/>
        </w:rPr>
        <w:t>Except as may be required by law</w:t>
      </w:r>
      <w:r w:rsidR="008A02B9">
        <w:rPr>
          <w:sz w:val="22"/>
          <w:szCs w:val="22"/>
        </w:rPr>
        <w:t xml:space="preserve"> or to protect a legal right</w:t>
      </w:r>
      <w:r w:rsidR="006509C8" w:rsidRPr="00E00CFC">
        <w:rPr>
          <w:sz w:val="22"/>
          <w:szCs w:val="22"/>
        </w:rPr>
        <w:t xml:space="preserve">, neither a party nor the arbitrator may disclose the existence, content or results of any arbitration without the prior written consent of </w:t>
      </w:r>
      <w:r w:rsidR="00A2750C" w:rsidRPr="00E00CFC">
        <w:rPr>
          <w:sz w:val="22"/>
          <w:szCs w:val="22"/>
        </w:rPr>
        <w:t>the other</w:t>
      </w:r>
      <w:r w:rsidR="006509C8" w:rsidRPr="00E00CFC">
        <w:rPr>
          <w:sz w:val="22"/>
          <w:szCs w:val="22"/>
        </w:rPr>
        <w:t xml:space="preserve"> parties.</w:t>
      </w:r>
    </w:p>
    <w:p w14:paraId="0F67D212" w14:textId="77777777" w:rsidR="008A02B9" w:rsidRDefault="001D7B14" w:rsidP="008A2CEC">
      <w:pPr>
        <w:autoSpaceDE w:val="0"/>
        <w:autoSpaceDN w:val="0"/>
        <w:adjustRightInd w:val="0"/>
        <w:spacing w:before="0"/>
        <w:ind w:firstLine="0"/>
        <w:jc w:val="center"/>
        <w:rPr>
          <w:sz w:val="22"/>
          <w:szCs w:val="22"/>
        </w:rPr>
      </w:pPr>
      <w:r w:rsidRPr="00E00CFC">
        <w:rPr>
          <w:sz w:val="22"/>
          <w:szCs w:val="22"/>
        </w:rPr>
        <w:t>(</w:t>
      </w:r>
      <w:r w:rsidRPr="00E00CFC">
        <w:rPr>
          <w:i/>
          <w:sz w:val="22"/>
          <w:szCs w:val="22"/>
        </w:rPr>
        <w:t>Signature page follows</w:t>
      </w:r>
      <w:r w:rsidRPr="00E00CFC">
        <w:rPr>
          <w:sz w:val="22"/>
          <w:szCs w:val="22"/>
        </w:rPr>
        <w:t>)</w:t>
      </w:r>
    </w:p>
    <w:p w14:paraId="1CF2C752" w14:textId="77777777" w:rsidR="008A02B9" w:rsidRDefault="008A02B9">
      <w:pPr>
        <w:spacing w:before="0"/>
        <w:ind w:firstLine="0"/>
        <w:rPr>
          <w:sz w:val="22"/>
          <w:szCs w:val="22"/>
        </w:rPr>
      </w:pPr>
      <w:r>
        <w:rPr>
          <w:sz w:val="22"/>
          <w:szCs w:val="22"/>
        </w:rPr>
        <w:br w:type="page"/>
      </w:r>
    </w:p>
    <w:p w14:paraId="28D552E8" w14:textId="77777777" w:rsidR="00E23215" w:rsidRPr="00E00CFC" w:rsidRDefault="001D7B14" w:rsidP="00A3764A">
      <w:pPr>
        <w:autoSpaceDE w:val="0"/>
        <w:autoSpaceDN w:val="0"/>
        <w:adjustRightInd w:val="0"/>
        <w:spacing w:before="0" w:after="480"/>
        <w:rPr>
          <w:sz w:val="22"/>
          <w:szCs w:val="22"/>
        </w:rPr>
      </w:pPr>
      <w:r w:rsidRPr="00E00CFC">
        <w:rPr>
          <w:sz w:val="22"/>
          <w:szCs w:val="22"/>
        </w:rPr>
        <w:t>IN WITNESS WHEREOF, the under</w:t>
      </w:r>
      <w:r w:rsidR="00A11FD1" w:rsidRPr="00E00CFC">
        <w:rPr>
          <w:sz w:val="22"/>
          <w:szCs w:val="22"/>
        </w:rPr>
        <w:t>signed have</w:t>
      </w:r>
      <w:r w:rsidRPr="00E00CFC">
        <w:rPr>
          <w:sz w:val="22"/>
          <w:szCs w:val="22"/>
        </w:rPr>
        <w:t xml:space="preserve"> </w:t>
      </w:r>
      <w:r w:rsidR="00253AA3" w:rsidRPr="00E00CFC">
        <w:rPr>
          <w:sz w:val="22"/>
          <w:szCs w:val="22"/>
        </w:rPr>
        <w:t>caused this instrument to be duly executed and delivered</w:t>
      </w:r>
      <w:r w:rsidRPr="00E00CFC">
        <w:rPr>
          <w:sz w:val="22"/>
          <w:szCs w:val="22"/>
        </w:rPr>
        <w:t>.</w:t>
      </w:r>
    </w:p>
    <w:p w14:paraId="572D41B8" w14:textId="7EA204F8" w:rsidR="00E23215" w:rsidRPr="00D2772C" w:rsidRDefault="00D2772C" w:rsidP="003C435C">
      <w:pPr>
        <w:autoSpaceDE w:val="0"/>
        <w:autoSpaceDN w:val="0"/>
        <w:adjustRightInd w:val="0"/>
        <w:spacing w:before="0" w:after="480"/>
        <w:ind w:left="5040" w:firstLine="0"/>
        <w:rPr>
          <w:b/>
          <w:sz w:val="22"/>
          <w:szCs w:val="22"/>
        </w:rPr>
      </w:pPr>
      <w:r w:rsidRPr="00D2772C">
        <w:rPr>
          <w:b/>
          <w:sz w:val="22"/>
        </w:rPr>
        <w:t>RACEYA, INC.</w:t>
      </w:r>
    </w:p>
    <w:p w14:paraId="7E3F209B" w14:textId="77777777" w:rsidR="00E23215" w:rsidRPr="00E00CFC" w:rsidRDefault="001D7B14" w:rsidP="003C435C">
      <w:pPr>
        <w:autoSpaceDE w:val="0"/>
        <w:autoSpaceDN w:val="0"/>
        <w:adjustRightInd w:val="0"/>
        <w:spacing w:before="0" w:line="360" w:lineRule="auto"/>
        <w:ind w:left="5040" w:firstLine="0"/>
        <w:outlineLvl w:val="0"/>
        <w:rPr>
          <w:sz w:val="22"/>
          <w:szCs w:val="22"/>
          <w:u w:val="single"/>
        </w:rPr>
      </w:pPr>
      <w:r w:rsidRPr="00E00CFC">
        <w:rPr>
          <w:sz w:val="22"/>
          <w:szCs w:val="22"/>
        </w:rPr>
        <w:t>By:</w:t>
      </w:r>
      <w:r w:rsidR="008A02B9">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008A02B9">
        <w:rPr>
          <w:sz w:val="22"/>
          <w:szCs w:val="22"/>
          <w:u w:val="single"/>
        </w:rPr>
        <w:tab/>
      </w:r>
    </w:p>
    <w:p w14:paraId="56D2E8AC" w14:textId="77777777" w:rsidR="00E23215" w:rsidRPr="003C435C" w:rsidRDefault="008A2CEC" w:rsidP="003C435C">
      <w:pPr>
        <w:autoSpaceDE w:val="0"/>
        <w:autoSpaceDN w:val="0"/>
        <w:adjustRightInd w:val="0"/>
        <w:spacing w:before="0" w:line="360" w:lineRule="auto"/>
        <w:ind w:left="5040" w:firstLine="360"/>
        <w:rPr>
          <w:sz w:val="22"/>
          <w:szCs w:val="22"/>
        </w:rPr>
      </w:pPr>
      <w:r w:rsidRPr="003C435C">
        <w:rPr>
          <w:sz w:val="22"/>
          <w:szCs w:val="22"/>
        </w:rPr>
        <w:t>N</w:t>
      </w:r>
      <w:r w:rsidR="001D7B14" w:rsidRPr="003C435C">
        <w:rPr>
          <w:sz w:val="22"/>
          <w:szCs w:val="22"/>
        </w:rPr>
        <w:t>ame</w:t>
      </w:r>
      <w:r w:rsidRPr="003C435C">
        <w:rPr>
          <w:sz w:val="22"/>
          <w:szCs w:val="22"/>
        </w:rPr>
        <w:t>:</w:t>
      </w:r>
      <w:r w:rsidR="008A02B9">
        <w:rPr>
          <w:sz w:val="22"/>
          <w:szCs w:val="22"/>
        </w:rPr>
        <w:t xml:space="preserve"> </w:t>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p>
    <w:p w14:paraId="7434ECD1" w14:textId="77777777" w:rsidR="00E23215" w:rsidRPr="003C435C" w:rsidRDefault="008A2CEC" w:rsidP="003C435C">
      <w:pPr>
        <w:autoSpaceDE w:val="0"/>
        <w:autoSpaceDN w:val="0"/>
        <w:adjustRightInd w:val="0"/>
        <w:spacing w:before="0" w:line="360" w:lineRule="auto"/>
        <w:ind w:left="5040" w:firstLine="360"/>
        <w:rPr>
          <w:sz w:val="22"/>
          <w:szCs w:val="22"/>
          <w:u w:val="single"/>
        </w:rPr>
      </w:pPr>
      <w:r w:rsidRPr="003C435C">
        <w:rPr>
          <w:sz w:val="22"/>
          <w:szCs w:val="22"/>
        </w:rPr>
        <w:t>T</w:t>
      </w:r>
      <w:r w:rsidR="001D7B14" w:rsidRPr="003C435C">
        <w:rPr>
          <w:sz w:val="22"/>
          <w:szCs w:val="22"/>
        </w:rPr>
        <w:t>itle</w:t>
      </w:r>
      <w:r w:rsidRPr="003C435C">
        <w:rPr>
          <w:sz w:val="22"/>
          <w:szCs w:val="22"/>
        </w:rPr>
        <w:t>:</w:t>
      </w:r>
      <w:r w:rsidR="008A02B9">
        <w:rPr>
          <w:sz w:val="22"/>
          <w:szCs w:val="22"/>
        </w:rPr>
        <w:t xml:space="preserve"> </w:t>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p>
    <w:p w14:paraId="2D6E0211" w14:textId="77777777" w:rsidR="00442117" w:rsidRPr="00E00CFC" w:rsidRDefault="00AC6ABA" w:rsidP="003C435C">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r>
      <w:r w:rsidR="00442117" w:rsidRPr="00E00CFC">
        <w:rPr>
          <w:sz w:val="22"/>
          <w:szCs w:val="22"/>
        </w:rPr>
        <w:t>Address:</w:t>
      </w:r>
      <w:r w:rsidR="00442117" w:rsidRPr="00E00CFC">
        <w:rPr>
          <w:sz w:val="22"/>
          <w:szCs w:val="22"/>
          <w:u w:val="single"/>
        </w:rPr>
        <w:t xml:space="preserve"> </w:t>
      </w:r>
      <w:r w:rsidR="00442117" w:rsidRPr="00E00CFC">
        <w:rPr>
          <w:sz w:val="22"/>
          <w:szCs w:val="22"/>
          <w:u w:val="single"/>
        </w:rPr>
        <w:tab/>
      </w:r>
    </w:p>
    <w:p w14:paraId="70520EA1" w14:textId="77777777" w:rsidR="00442117" w:rsidRPr="00E00CFC" w:rsidRDefault="00442117" w:rsidP="003C435C">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17082922" w14:textId="77777777" w:rsidR="000B6A09" w:rsidRDefault="000B6A0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2F1EAD88" w14:textId="77777777" w:rsidR="008A02B9" w:rsidRPr="00E00CFC" w:rsidRDefault="008A02B9" w:rsidP="00330703">
      <w:pPr>
        <w:pStyle w:val="SignatureLine2-col"/>
        <w:outlineLvl w:val="0"/>
        <w:rPr>
          <w:sz w:val="22"/>
          <w:szCs w:val="22"/>
          <w:u w:val="single"/>
        </w:rPr>
      </w:pPr>
    </w:p>
    <w:p w14:paraId="46F40C61" w14:textId="77777777" w:rsidR="008A02B9" w:rsidRPr="00E00CFC" w:rsidRDefault="00442117" w:rsidP="003C435C">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00AC6ABA" w:rsidRPr="00E00CFC">
        <w:rPr>
          <w:b/>
          <w:sz w:val="22"/>
          <w:szCs w:val="22"/>
        </w:rPr>
        <w:t>INVESTOR:</w:t>
      </w:r>
    </w:p>
    <w:p w14:paraId="1B8BB424" w14:textId="77777777" w:rsidR="00AC6ABA" w:rsidRPr="00E00CFC" w:rsidRDefault="00AC6ABA" w:rsidP="003C435C">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p>
    <w:p w14:paraId="598A86D1" w14:textId="77777777" w:rsidR="00AC6ABA" w:rsidRPr="00E00CFC" w:rsidRDefault="00AC6ABA" w:rsidP="003C435C">
      <w:pPr>
        <w:pStyle w:val="SignatureLine2-col"/>
        <w:tabs>
          <w:tab w:val="clear" w:pos="5040"/>
          <w:tab w:val="clear" w:pos="9648"/>
          <w:tab w:val="left" w:pos="9360"/>
        </w:tabs>
        <w:spacing w:before="0" w:line="360" w:lineRule="auto"/>
        <w:rPr>
          <w:sz w:val="22"/>
          <w:szCs w:val="22"/>
          <w:u w:val="single"/>
        </w:rPr>
      </w:pPr>
      <w:r w:rsidRPr="00E00CFC">
        <w:rPr>
          <w:sz w:val="22"/>
          <w:szCs w:val="22"/>
        </w:rPr>
        <w:tab/>
      </w:r>
      <w:r w:rsidRPr="00E00CFC">
        <w:rPr>
          <w:sz w:val="22"/>
          <w:szCs w:val="22"/>
        </w:rPr>
        <w:tab/>
      </w:r>
      <w:r w:rsidRPr="00E00CFC">
        <w:rPr>
          <w:sz w:val="22"/>
          <w:szCs w:val="22"/>
        </w:rPr>
        <w:tab/>
        <w:t>Name:</w:t>
      </w:r>
      <w:r w:rsidRPr="00E00CFC">
        <w:rPr>
          <w:sz w:val="22"/>
          <w:szCs w:val="22"/>
          <w:u w:val="single"/>
        </w:rPr>
        <w:tab/>
      </w:r>
    </w:p>
    <w:p w14:paraId="3262F38B" w14:textId="77777777" w:rsidR="008A02B9" w:rsidRPr="00E00CFC" w:rsidRDefault="00AC6ABA" w:rsidP="003C435C">
      <w:pPr>
        <w:pStyle w:val="SignatureLine2-col"/>
        <w:tabs>
          <w:tab w:val="clear" w:pos="5472"/>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008A02B9">
        <w:rPr>
          <w:sz w:val="22"/>
          <w:szCs w:val="22"/>
        </w:rPr>
        <w:tab/>
      </w:r>
      <w:r w:rsidR="008A02B9" w:rsidRPr="00E00CFC">
        <w:rPr>
          <w:sz w:val="22"/>
          <w:szCs w:val="22"/>
        </w:rPr>
        <w:t>Address:</w:t>
      </w:r>
      <w:r w:rsidR="008A02B9" w:rsidRPr="00E00CFC">
        <w:rPr>
          <w:sz w:val="22"/>
          <w:szCs w:val="22"/>
          <w:u w:val="single"/>
        </w:rPr>
        <w:t xml:space="preserve"> </w:t>
      </w:r>
      <w:r w:rsidR="008A02B9" w:rsidRPr="00E00CFC">
        <w:rPr>
          <w:sz w:val="22"/>
          <w:szCs w:val="22"/>
          <w:u w:val="single"/>
        </w:rPr>
        <w:tab/>
      </w:r>
    </w:p>
    <w:p w14:paraId="1925D964" w14:textId="77777777" w:rsidR="008A02B9" w:rsidRPr="00E00CFC" w:rsidRDefault="008A02B9" w:rsidP="003C435C">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5C118627" w14:textId="77777777" w:rsidR="008A02B9" w:rsidRDefault="008A02B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2754622F" w14:textId="77777777" w:rsidR="00442117" w:rsidRPr="00E00CFC" w:rsidRDefault="00442117" w:rsidP="003C435C">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p>
    <w:p w14:paraId="6B475AA5" w14:textId="77777777" w:rsidR="008A2CEC" w:rsidRPr="00E00CFC" w:rsidRDefault="008A2CEC">
      <w:pPr>
        <w:rPr>
          <w:sz w:val="22"/>
          <w:szCs w:val="22"/>
          <w:lang w:eastAsia="zh-TW"/>
        </w:rPr>
      </w:pPr>
    </w:p>
    <w:p w14:paraId="2B6D6746" w14:textId="77777777" w:rsidR="00E00CFC" w:rsidRDefault="00E00CFC">
      <w:pPr>
        <w:rPr>
          <w:sz w:val="20"/>
          <w:lang w:eastAsia="zh-TW"/>
        </w:rPr>
      </w:pPr>
    </w:p>
    <w:sectPr w:rsidR="00E00CFC" w:rsidSect="003C435C">
      <w:headerReference w:type="default" r:id="rId10"/>
      <w:footerReference w:type="even" r:id="rId11"/>
      <w:footerReference w:type="default" r:id="rId12"/>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7EFCF" w14:textId="77777777" w:rsidR="00A4351F" w:rsidRDefault="00A4351F">
      <w:r>
        <w:separator/>
      </w:r>
    </w:p>
  </w:endnote>
  <w:endnote w:type="continuationSeparator" w:id="0">
    <w:p w14:paraId="2DE496B9" w14:textId="77777777" w:rsidR="00A4351F" w:rsidRDefault="00A4351F">
      <w:r>
        <w:continuationSeparator/>
      </w:r>
    </w:p>
  </w:endnote>
  <w:endnote w:type="continuationNotice" w:id="1">
    <w:p w14:paraId="32771ACF" w14:textId="77777777" w:rsidR="00A4351F" w:rsidRDefault="00A435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FC1AC" w14:textId="77777777" w:rsidR="008A02B9" w:rsidRDefault="008A02B9" w:rsidP="003C435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35C">
      <w:rPr>
        <w:rStyle w:val="PageNumber"/>
        <w:noProof/>
      </w:rPr>
      <w:t>- 6 -</w:t>
    </w:r>
    <w:r>
      <w:rPr>
        <w:rStyle w:val="PageNumber"/>
      </w:rPr>
      <w:fldChar w:fldCharType="end"/>
    </w:r>
  </w:p>
  <w:p w14:paraId="2055A3C6" w14:textId="77777777" w:rsidR="008A02B9" w:rsidRDefault="008A02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E6D54" w14:textId="77777777" w:rsidR="008A02B9" w:rsidRPr="009A7337" w:rsidRDefault="008A02B9" w:rsidP="003C435C">
    <w:pPr>
      <w:pStyle w:val="Footer"/>
      <w:framePr w:wrap="none" w:vAnchor="text" w:hAnchor="page" w:x="5902" w:y="469"/>
      <w:rPr>
        <w:rStyle w:val="PageNumber"/>
        <w:sz w:val="22"/>
        <w:szCs w:val="22"/>
      </w:rPr>
    </w:pPr>
    <w:r w:rsidRPr="009A7337">
      <w:rPr>
        <w:rStyle w:val="PageNumber"/>
        <w:sz w:val="22"/>
        <w:szCs w:val="22"/>
      </w:rPr>
      <w:fldChar w:fldCharType="begin"/>
    </w:r>
    <w:r w:rsidRPr="009A7337">
      <w:rPr>
        <w:rStyle w:val="PageNumber"/>
        <w:sz w:val="22"/>
        <w:szCs w:val="22"/>
      </w:rPr>
      <w:instrText xml:space="preserve">PAGE  </w:instrText>
    </w:r>
    <w:r w:rsidRPr="009A7337">
      <w:rPr>
        <w:rStyle w:val="PageNumber"/>
        <w:sz w:val="22"/>
        <w:szCs w:val="22"/>
      </w:rPr>
      <w:fldChar w:fldCharType="separate"/>
    </w:r>
    <w:r w:rsidR="00E52CE2">
      <w:rPr>
        <w:rStyle w:val="PageNumber"/>
        <w:noProof/>
        <w:sz w:val="22"/>
        <w:szCs w:val="22"/>
      </w:rPr>
      <w:t>- 10 -</w:t>
    </w:r>
    <w:r w:rsidRPr="009A7337">
      <w:rPr>
        <w:rStyle w:val="PageNumber"/>
        <w:sz w:val="22"/>
        <w:szCs w:val="22"/>
      </w:rPr>
      <w:fldChar w:fldCharType="end"/>
    </w:r>
  </w:p>
  <w:p w14:paraId="7E84F113" w14:textId="77777777" w:rsidR="008A02B9" w:rsidRDefault="008A02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A577" w14:textId="77777777" w:rsidR="00A4351F" w:rsidRDefault="00A4351F">
      <w:r>
        <w:separator/>
      </w:r>
    </w:p>
  </w:footnote>
  <w:footnote w:type="continuationSeparator" w:id="0">
    <w:p w14:paraId="49A20594" w14:textId="77777777" w:rsidR="00A4351F" w:rsidRDefault="00A4351F">
      <w:r>
        <w:continuationSeparator/>
      </w:r>
    </w:p>
  </w:footnote>
  <w:footnote w:type="continuationNotice" w:id="1">
    <w:p w14:paraId="511997A3" w14:textId="77777777" w:rsidR="00A4351F" w:rsidRDefault="00A4351F">
      <w:pPr>
        <w:spacing w:before="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62AE" w14:textId="77777777" w:rsidR="001F0F2E" w:rsidRDefault="001F0F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4">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4"/>
  </w:num>
  <w:num w:numId="7">
    <w:abstractNumId w:val="4"/>
  </w:num>
  <w:num w:numId="8">
    <w:abstractNumId w:val="4"/>
  </w:num>
  <w:num w:numId="9">
    <w:abstractNumId w:val="4"/>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5"/>
  </w:num>
  <w:num w:numId="20">
    <w:abstractNumId w:val="7"/>
  </w:num>
  <w:num w:numId="21">
    <w:abstractNumId w:val="8"/>
  </w:num>
  <w:num w:numId="22">
    <w:abstractNumId w:val="9"/>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removePersonalInformation/>
  <w:removeDateAndTim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15"/>
    <w:rsid w:val="0000047D"/>
    <w:rsid w:val="000020B7"/>
    <w:rsid w:val="00005C41"/>
    <w:rsid w:val="000067B6"/>
    <w:rsid w:val="000070E5"/>
    <w:rsid w:val="00013127"/>
    <w:rsid w:val="00013409"/>
    <w:rsid w:val="00015024"/>
    <w:rsid w:val="00015A26"/>
    <w:rsid w:val="00015F2F"/>
    <w:rsid w:val="00021196"/>
    <w:rsid w:val="0002405E"/>
    <w:rsid w:val="00026B91"/>
    <w:rsid w:val="00030E5D"/>
    <w:rsid w:val="000313E8"/>
    <w:rsid w:val="00034A42"/>
    <w:rsid w:val="00035998"/>
    <w:rsid w:val="00037BAA"/>
    <w:rsid w:val="00037BCE"/>
    <w:rsid w:val="0004203A"/>
    <w:rsid w:val="00045264"/>
    <w:rsid w:val="00046A94"/>
    <w:rsid w:val="00051AA5"/>
    <w:rsid w:val="000521E3"/>
    <w:rsid w:val="00052709"/>
    <w:rsid w:val="00052D74"/>
    <w:rsid w:val="00057DB0"/>
    <w:rsid w:val="000645DF"/>
    <w:rsid w:val="00066A87"/>
    <w:rsid w:val="000673AF"/>
    <w:rsid w:val="00070B9A"/>
    <w:rsid w:val="0007209F"/>
    <w:rsid w:val="00073595"/>
    <w:rsid w:val="0007739C"/>
    <w:rsid w:val="000832E9"/>
    <w:rsid w:val="000852A4"/>
    <w:rsid w:val="000915B3"/>
    <w:rsid w:val="000965CD"/>
    <w:rsid w:val="00097D2D"/>
    <w:rsid w:val="000A198E"/>
    <w:rsid w:val="000A2F69"/>
    <w:rsid w:val="000A3106"/>
    <w:rsid w:val="000A331A"/>
    <w:rsid w:val="000A49E2"/>
    <w:rsid w:val="000A4A91"/>
    <w:rsid w:val="000A50BA"/>
    <w:rsid w:val="000A67E4"/>
    <w:rsid w:val="000A7801"/>
    <w:rsid w:val="000B1A7F"/>
    <w:rsid w:val="000B21B4"/>
    <w:rsid w:val="000B669B"/>
    <w:rsid w:val="000B6A09"/>
    <w:rsid w:val="000B7F9D"/>
    <w:rsid w:val="000C04E7"/>
    <w:rsid w:val="000C10C1"/>
    <w:rsid w:val="000C3304"/>
    <w:rsid w:val="000C71F1"/>
    <w:rsid w:val="000D1359"/>
    <w:rsid w:val="000D6F63"/>
    <w:rsid w:val="000E2DC7"/>
    <w:rsid w:val="000E375D"/>
    <w:rsid w:val="000F2B53"/>
    <w:rsid w:val="00104E42"/>
    <w:rsid w:val="0010692C"/>
    <w:rsid w:val="00112232"/>
    <w:rsid w:val="00114099"/>
    <w:rsid w:val="001239FA"/>
    <w:rsid w:val="00127757"/>
    <w:rsid w:val="0013041C"/>
    <w:rsid w:val="0013066C"/>
    <w:rsid w:val="001309B5"/>
    <w:rsid w:val="00131DA0"/>
    <w:rsid w:val="00132B42"/>
    <w:rsid w:val="0013441C"/>
    <w:rsid w:val="001376FC"/>
    <w:rsid w:val="00137D3A"/>
    <w:rsid w:val="00141B01"/>
    <w:rsid w:val="0014368A"/>
    <w:rsid w:val="001458DE"/>
    <w:rsid w:val="001561DA"/>
    <w:rsid w:val="00157609"/>
    <w:rsid w:val="00160ED0"/>
    <w:rsid w:val="001649DE"/>
    <w:rsid w:val="00167A9B"/>
    <w:rsid w:val="00172D73"/>
    <w:rsid w:val="00173695"/>
    <w:rsid w:val="0018100B"/>
    <w:rsid w:val="00181A55"/>
    <w:rsid w:val="00182DFA"/>
    <w:rsid w:val="00184710"/>
    <w:rsid w:val="00187F6B"/>
    <w:rsid w:val="001915B5"/>
    <w:rsid w:val="0019338C"/>
    <w:rsid w:val="00193B5B"/>
    <w:rsid w:val="00196D16"/>
    <w:rsid w:val="001A69F0"/>
    <w:rsid w:val="001A7F23"/>
    <w:rsid w:val="001B0AFA"/>
    <w:rsid w:val="001B2399"/>
    <w:rsid w:val="001B5D27"/>
    <w:rsid w:val="001B701F"/>
    <w:rsid w:val="001C2114"/>
    <w:rsid w:val="001C3A83"/>
    <w:rsid w:val="001C4481"/>
    <w:rsid w:val="001C4D81"/>
    <w:rsid w:val="001C731B"/>
    <w:rsid w:val="001C73AE"/>
    <w:rsid w:val="001D2B84"/>
    <w:rsid w:val="001D42F9"/>
    <w:rsid w:val="001D722C"/>
    <w:rsid w:val="001D7B14"/>
    <w:rsid w:val="001E1591"/>
    <w:rsid w:val="001E2D63"/>
    <w:rsid w:val="001E345C"/>
    <w:rsid w:val="001E36BE"/>
    <w:rsid w:val="001E571A"/>
    <w:rsid w:val="001F013A"/>
    <w:rsid w:val="001F0F2E"/>
    <w:rsid w:val="001F42C3"/>
    <w:rsid w:val="001F4D9C"/>
    <w:rsid w:val="0020109F"/>
    <w:rsid w:val="00201D9E"/>
    <w:rsid w:val="0020281A"/>
    <w:rsid w:val="002033E2"/>
    <w:rsid w:val="002045EB"/>
    <w:rsid w:val="00211D36"/>
    <w:rsid w:val="002145D9"/>
    <w:rsid w:val="00214AAC"/>
    <w:rsid w:val="00217F75"/>
    <w:rsid w:val="00220FF6"/>
    <w:rsid w:val="002218A7"/>
    <w:rsid w:val="00222438"/>
    <w:rsid w:val="0022483D"/>
    <w:rsid w:val="00225B61"/>
    <w:rsid w:val="0023048A"/>
    <w:rsid w:val="002327D9"/>
    <w:rsid w:val="00232AEB"/>
    <w:rsid w:val="002330A4"/>
    <w:rsid w:val="00233A22"/>
    <w:rsid w:val="00234B17"/>
    <w:rsid w:val="00234BC8"/>
    <w:rsid w:val="00235C55"/>
    <w:rsid w:val="00235E5B"/>
    <w:rsid w:val="0024582E"/>
    <w:rsid w:val="00246B08"/>
    <w:rsid w:val="00247BFD"/>
    <w:rsid w:val="002517D7"/>
    <w:rsid w:val="00253AA3"/>
    <w:rsid w:val="00253FA8"/>
    <w:rsid w:val="002600BF"/>
    <w:rsid w:val="002618FD"/>
    <w:rsid w:val="00262C48"/>
    <w:rsid w:val="00263E90"/>
    <w:rsid w:val="00264D96"/>
    <w:rsid w:val="00265D10"/>
    <w:rsid w:val="00271FD5"/>
    <w:rsid w:val="00273383"/>
    <w:rsid w:val="00275B5C"/>
    <w:rsid w:val="00275C10"/>
    <w:rsid w:val="00277B5D"/>
    <w:rsid w:val="00281FE4"/>
    <w:rsid w:val="002837EA"/>
    <w:rsid w:val="002916FE"/>
    <w:rsid w:val="00292142"/>
    <w:rsid w:val="002964BB"/>
    <w:rsid w:val="00296F4A"/>
    <w:rsid w:val="002A0BA4"/>
    <w:rsid w:val="002A41B8"/>
    <w:rsid w:val="002A5D1A"/>
    <w:rsid w:val="002B4850"/>
    <w:rsid w:val="002B74F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745F"/>
    <w:rsid w:val="0033033B"/>
    <w:rsid w:val="00330703"/>
    <w:rsid w:val="00331EC1"/>
    <w:rsid w:val="0033557F"/>
    <w:rsid w:val="003376F7"/>
    <w:rsid w:val="0034131E"/>
    <w:rsid w:val="003420AD"/>
    <w:rsid w:val="003432BC"/>
    <w:rsid w:val="00343912"/>
    <w:rsid w:val="00347B1F"/>
    <w:rsid w:val="003515B2"/>
    <w:rsid w:val="00360E2D"/>
    <w:rsid w:val="00360F2C"/>
    <w:rsid w:val="00366ADB"/>
    <w:rsid w:val="00367EEB"/>
    <w:rsid w:val="003737A9"/>
    <w:rsid w:val="0037597B"/>
    <w:rsid w:val="0037739C"/>
    <w:rsid w:val="0038184B"/>
    <w:rsid w:val="00382CDB"/>
    <w:rsid w:val="00384D51"/>
    <w:rsid w:val="00386D5B"/>
    <w:rsid w:val="0039336D"/>
    <w:rsid w:val="00394E56"/>
    <w:rsid w:val="00395EF5"/>
    <w:rsid w:val="003A04FF"/>
    <w:rsid w:val="003A19A3"/>
    <w:rsid w:val="003A37AA"/>
    <w:rsid w:val="003A513D"/>
    <w:rsid w:val="003A532C"/>
    <w:rsid w:val="003B0797"/>
    <w:rsid w:val="003C2B4D"/>
    <w:rsid w:val="003C326F"/>
    <w:rsid w:val="003C3573"/>
    <w:rsid w:val="003C3ACA"/>
    <w:rsid w:val="003C435C"/>
    <w:rsid w:val="003C7D77"/>
    <w:rsid w:val="003D010D"/>
    <w:rsid w:val="003D0F7D"/>
    <w:rsid w:val="003D1552"/>
    <w:rsid w:val="003D15ED"/>
    <w:rsid w:val="003D1AE3"/>
    <w:rsid w:val="003D5B2A"/>
    <w:rsid w:val="003E245C"/>
    <w:rsid w:val="003E7EB1"/>
    <w:rsid w:val="003F1633"/>
    <w:rsid w:val="003F2477"/>
    <w:rsid w:val="003F2D90"/>
    <w:rsid w:val="003F5CA0"/>
    <w:rsid w:val="003F79B2"/>
    <w:rsid w:val="003F7BCA"/>
    <w:rsid w:val="0040034A"/>
    <w:rsid w:val="00401B73"/>
    <w:rsid w:val="00404D74"/>
    <w:rsid w:val="004061DC"/>
    <w:rsid w:val="00412847"/>
    <w:rsid w:val="004137CB"/>
    <w:rsid w:val="0041535D"/>
    <w:rsid w:val="004169CE"/>
    <w:rsid w:val="004225AB"/>
    <w:rsid w:val="00425693"/>
    <w:rsid w:val="00430D18"/>
    <w:rsid w:val="0043111A"/>
    <w:rsid w:val="00431AB2"/>
    <w:rsid w:val="004356F1"/>
    <w:rsid w:val="00435C52"/>
    <w:rsid w:val="004360A1"/>
    <w:rsid w:val="00437F37"/>
    <w:rsid w:val="00442117"/>
    <w:rsid w:val="00442F87"/>
    <w:rsid w:val="004442FD"/>
    <w:rsid w:val="00445713"/>
    <w:rsid w:val="00445BED"/>
    <w:rsid w:val="004502B6"/>
    <w:rsid w:val="004505C0"/>
    <w:rsid w:val="004514BE"/>
    <w:rsid w:val="00452BF7"/>
    <w:rsid w:val="00457020"/>
    <w:rsid w:val="0045748A"/>
    <w:rsid w:val="004579FB"/>
    <w:rsid w:val="0046157D"/>
    <w:rsid w:val="004625DF"/>
    <w:rsid w:val="00464DFC"/>
    <w:rsid w:val="00466AD4"/>
    <w:rsid w:val="00470FA2"/>
    <w:rsid w:val="004719A9"/>
    <w:rsid w:val="004735FA"/>
    <w:rsid w:val="00481BF1"/>
    <w:rsid w:val="00481E0D"/>
    <w:rsid w:val="00485D09"/>
    <w:rsid w:val="00487ABA"/>
    <w:rsid w:val="00490C3C"/>
    <w:rsid w:val="0049149B"/>
    <w:rsid w:val="00493AD9"/>
    <w:rsid w:val="00496041"/>
    <w:rsid w:val="0049729D"/>
    <w:rsid w:val="004A32E1"/>
    <w:rsid w:val="004A3DF3"/>
    <w:rsid w:val="004A4F45"/>
    <w:rsid w:val="004A6477"/>
    <w:rsid w:val="004B0485"/>
    <w:rsid w:val="004B53E3"/>
    <w:rsid w:val="004C00E6"/>
    <w:rsid w:val="004C1D25"/>
    <w:rsid w:val="004C38B7"/>
    <w:rsid w:val="004C45AF"/>
    <w:rsid w:val="004C726F"/>
    <w:rsid w:val="004D1748"/>
    <w:rsid w:val="004D3273"/>
    <w:rsid w:val="004D6B8B"/>
    <w:rsid w:val="004E1858"/>
    <w:rsid w:val="004E422C"/>
    <w:rsid w:val="004E669A"/>
    <w:rsid w:val="004F631E"/>
    <w:rsid w:val="004F7EC9"/>
    <w:rsid w:val="005010F1"/>
    <w:rsid w:val="005011B2"/>
    <w:rsid w:val="00501DD0"/>
    <w:rsid w:val="00505841"/>
    <w:rsid w:val="005068E1"/>
    <w:rsid w:val="0051211E"/>
    <w:rsid w:val="005203D9"/>
    <w:rsid w:val="0052095D"/>
    <w:rsid w:val="005216BA"/>
    <w:rsid w:val="00522EBA"/>
    <w:rsid w:val="00523A88"/>
    <w:rsid w:val="00524404"/>
    <w:rsid w:val="0053032A"/>
    <w:rsid w:val="005334B3"/>
    <w:rsid w:val="00533EAE"/>
    <w:rsid w:val="00536FBE"/>
    <w:rsid w:val="00537663"/>
    <w:rsid w:val="005377E9"/>
    <w:rsid w:val="0054090C"/>
    <w:rsid w:val="0054283E"/>
    <w:rsid w:val="00543E23"/>
    <w:rsid w:val="00547859"/>
    <w:rsid w:val="00551522"/>
    <w:rsid w:val="00554BE4"/>
    <w:rsid w:val="00561234"/>
    <w:rsid w:val="00564EBD"/>
    <w:rsid w:val="005714A0"/>
    <w:rsid w:val="005729DF"/>
    <w:rsid w:val="00576CCC"/>
    <w:rsid w:val="00584237"/>
    <w:rsid w:val="005871D8"/>
    <w:rsid w:val="00596DB7"/>
    <w:rsid w:val="005A2C97"/>
    <w:rsid w:val="005A39FC"/>
    <w:rsid w:val="005A7B41"/>
    <w:rsid w:val="005B215C"/>
    <w:rsid w:val="005B6D5D"/>
    <w:rsid w:val="005B7B77"/>
    <w:rsid w:val="005C5CE5"/>
    <w:rsid w:val="005C6007"/>
    <w:rsid w:val="005C6652"/>
    <w:rsid w:val="005C782F"/>
    <w:rsid w:val="005D1EF4"/>
    <w:rsid w:val="005D45E4"/>
    <w:rsid w:val="005D4CBC"/>
    <w:rsid w:val="005E1B14"/>
    <w:rsid w:val="005E1B2C"/>
    <w:rsid w:val="005E27ED"/>
    <w:rsid w:val="005E2E66"/>
    <w:rsid w:val="005E315A"/>
    <w:rsid w:val="005F04DB"/>
    <w:rsid w:val="005F0A92"/>
    <w:rsid w:val="005F15A9"/>
    <w:rsid w:val="005F2761"/>
    <w:rsid w:val="005F7720"/>
    <w:rsid w:val="0060238B"/>
    <w:rsid w:val="006044F3"/>
    <w:rsid w:val="006065B3"/>
    <w:rsid w:val="00607889"/>
    <w:rsid w:val="00612BAB"/>
    <w:rsid w:val="00612E45"/>
    <w:rsid w:val="00613994"/>
    <w:rsid w:val="0061478B"/>
    <w:rsid w:val="006150FE"/>
    <w:rsid w:val="00615A3B"/>
    <w:rsid w:val="00616053"/>
    <w:rsid w:val="00616759"/>
    <w:rsid w:val="00617B47"/>
    <w:rsid w:val="00617CF5"/>
    <w:rsid w:val="006205EC"/>
    <w:rsid w:val="00623E08"/>
    <w:rsid w:val="0062426D"/>
    <w:rsid w:val="00633032"/>
    <w:rsid w:val="0063377A"/>
    <w:rsid w:val="00633884"/>
    <w:rsid w:val="00634318"/>
    <w:rsid w:val="00634D37"/>
    <w:rsid w:val="00635E29"/>
    <w:rsid w:val="0064012E"/>
    <w:rsid w:val="006420F0"/>
    <w:rsid w:val="00643A61"/>
    <w:rsid w:val="00644BDD"/>
    <w:rsid w:val="00646FBC"/>
    <w:rsid w:val="00647219"/>
    <w:rsid w:val="00647694"/>
    <w:rsid w:val="006509C8"/>
    <w:rsid w:val="00651DBB"/>
    <w:rsid w:val="00654695"/>
    <w:rsid w:val="0065566D"/>
    <w:rsid w:val="006570CB"/>
    <w:rsid w:val="006611CB"/>
    <w:rsid w:val="00661448"/>
    <w:rsid w:val="006618DD"/>
    <w:rsid w:val="0066278D"/>
    <w:rsid w:val="00662F4B"/>
    <w:rsid w:val="006635BB"/>
    <w:rsid w:val="00670B09"/>
    <w:rsid w:val="00677465"/>
    <w:rsid w:val="00680545"/>
    <w:rsid w:val="00685C3D"/>
    <w:rsid w:val="006867E1"/>
    <w:rsid w:val="006931E0"/>
    <w:rsid w:val="00695239"/>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22B0"/>
    <w:rsid w:val="00704B1D"/>
    <w:rsid w:val="00704DF0"/>
    <w:rsid w:val="00706FFC"/>
    <w:rsid w:val="00707259"/>
    <w:rsid w:val="007107B6"/>
    <w:rsid w:val="00714395"/>
    <w:rsid w:val="0071558A"/>
    <w:rsid w:val="0072228A"/>
    <w:rsid w:val="007236E5"/>
    <w:rsid w:val="00724EA4"/>
    <w:rsid w:val="007273EA"/>
    <w:rsid w:val="00732B00"/>
    <w:rsid w:val="00734A96"/>
    <w:rsid w:val="00735C87"/>
    <w:rsid w:val="0074081B"/>
    <w:rsid w:val="00745C4A"/>
    <w:rsid w:val="00745FCF"/>
    <w:rsid w:val="0075095E"/>
    <w:rsid w:val="00752AF8"/>
    <w:rsid w:val="00754275"/>
    <w:rsid w:val="00755458"/>
    <w:rsid w:val="00761860"/>
    <w:rsid w:val="00763C0E"/>
    <w:rsid w:val="00764B64"/>
    <w:rsid w:val="007672B2"/>
    <w:rsid w:val="00775382"/>
    <w:rsid w:val="007757C8"/>
    <w:rsid w:val="00775E23"/>
    <w:rsid w:val="00775FCF"/>
    <w:rsid w:val="0078111B"/>
    <w:rsid w:val="007813C9"/>
    <w:rsid w:val="00784669"/>
    <w:rsid w:val="00785568"/>
    <w:rsid w:val="007866A3"/>
    <w:rsid w:val="0078683A"/>
    <w:rsid w:val="007869D7"/>
    <w:rsid w:val="00790660"/>
    <w:rsid w:val="00791D7C"/>
    <w:rsid w:val="00792181"/>
    <w:rsid w:val="00792DE3"/>
    <w:rsid w:val="0079399C"/>
    <w:rsid w:val="00795EE8"/>
    <w:rsid w:val="00796CBE"/>
    <w:rsid w:val="007A609D"/>
    <w:rsid w:val="007A718E"/>
    <w:rsid w:val="007B1802"/>
    <w:rsid w:val="007C278C"/>
    <w:rsid w:val="007C29F3"/>
    <w:rsid w:val="007C41E3"/>
    <w:rsid w:val="007C7B47"/>
    <w:rsid w:val="007D1885"/>
    <w:rsid w:val="007D1C40"/>
    <w:rsid w:val="007D2CE1"/>
    <w:rsid w:val="007E2C2A"/>
    <w:rsid w:val="007E56EB"/>
    <w:rsid w:val="007E5C21"/>
    <w:rsid w:val="007F187F"/>
    <w:rsid w:val="007F5601"/>
    <w:rsid w:val="007F7150"/>
    <w:rsid w:val="00801848"/>
    <w:rsid w:val="00805385"/>
    <w:rsid w:val="00805EED"/>
    <w:rsid w:val="00807B10"/>
    <w:rsid w:val="008116C7"/>
    <w:rsid w:val="00813D25"/>
    <w:rsid w:val="0081458A"/>
    <w:rsid w:val="00817577"/>
    <w:rsid w:val="00823F02"/>
    <w:rsid w:val="00824C2B"/>
    <w:rsid w:val="00824FCF"/>
    <w:rsid w:val="00827193"/>
    <w:rsid w:val="00830210"/>
    <w:rsid w:val="00830B91"/>
    <w:rsid w:val="00833E4F"/>
    <w:rsid w:val="00843FC4"/>
    <w:rsid w:val="008453B7"/>
    <w:rsid w:val="00846D58"/>
    <w:rsid w:val="00850D12"/>
    <w:rsid w:val="00852431"/>
    <w:rsid w:val="00852E11"/>
    <w:rsid w:val="00853C0F"/>
    <w:rsid w:val="0085527C"/>
    <w:rsid w:val="0085725A"/>
    <w:rsid w:val="00860F08"/>
    <w:rsid w:val="00861B01"/>
    <w:rsid w:val="00862784"/>
    <w:rsid w:val="008736D2"/>
    <w:rsid w:val="00873CF1"/>
    <w:rsid w:val="008748A8"/>
    <w:rsid w:val="00881327"/>
    <w:rsid w:val="00884334"/>
    <w:rsid w:val="00885214"/>
    <w:rsid w:val="00886B95"/>
    <w:rsid w:val="00897EFB"/>
    <w:rsid w:val="008A02B9"/>
    <w:rsid w:val="008A0DC4"/>
    <w:rsid w:val="008A2CEC"/>
    <w:rsid w:val="008A3D48"/>
    <w:rsid w:val="008A3FA1"/>
    <w:rsid w:val="008A753F"/>
    <w:rsid w:val="008B0D4F"/>
    <w:rsid w:val="008B11F2"/>
    <w:rsid w:val="008B340B"/>
    <w:rsid w:val="008B51D2"/>
    <w:rsid w:val="008B743B"/>
    <w:rsid w:val="008B787B"/>
    <w:rsid w:val="008B7F0F"/>
    <w:rsid w:val="008C007E"/>
    <w:rsid w:val="008C2626"/>
    <w:rsid w:val="008C5EC3"/>
    <w:rsid w:val="008C6EC5"/>
    <w:rsid w:val="008D0F36"/>
    <w:rsid w:val="008D18EB"/>
    <w:rsid w:val="008D1D6A"/>
    <w:rsid w:val="008D48F9"/>
    <w:rsid w:val="008D4BBC"/>
    <w:rsid w:val="008E19BB"/>
    <w:rsid w:val="008E33F2"/>
    <w:rsid w:val="008E3B83"/>
    <w:rsid w:val="008E5259"/>
    <w:rsid w:val="008E7282"/>
    <w:rsid w:val="008F293C"/>
    <w:rsid w:val="008F5004"/>
    <w:rsid w:val="008F5D1D"/>
    <w:rsid w:val="008F6C38"/>
    <w:rsid w:val="00900114"/>
    <w:rsid w:val="0090246D"/>
    <w:rsid w:val="0090356B"/>
    <w:rsid w:val="00906A49"/>
    <w:rsid w:val="00910660"/>
    <w:rsid w:val="0091096B"/>
    <w:rsid w:val="00914BF6"/>
    <w:rsid w:val="009204D6"/>
    <w:rsid w:val="00926AC5"/>
    <w:rsid w:val="00926BE7"/>
    <w:rsid w:val="0093034E"/>
    <w:rsid w:val="00930B53"/>
    <w:rsid w:val="00930CF5"/>
    <w:rsid w:val="009336F9"/>
    <w:rsid w:val="0093463E"/>
    <w:rsid w:val="00934B08"/>
    <w:rsid w:val="0093599E"/>
    <w:rsid w:val="0094024D"/>
    <w:rsid w:val="009459BC"/>
    <w:rsid w:val="00945EAA"/>
    <w:rsid w:val="009479AA"/>
    <w:rsid w:val="00950A76"/>
    <w:rsid w:val="00957930"/>
    <w:rsid w:val="00963968"/>
    <w:rsid w:val="00965100"/>
    <w:rsid w:val="009675BB"/>
    <w:rsid w:val="009702E3"/>
    <w:rsid w:val="0097181A"/>
    <w:rsid w:val="00972668"/>
    <w:rsid w:val="00975635"/>
    <w:rsid w:val="009815CF"/>
    <w:rsid w:val="00991306"/>
    <w:rsid w:val="0099159F"/>
    <w:rsid w:val="00996726"/>
    <w:rsid w:val="009A14B1"/>
    <w:rsid w:val="009A302B"/>
    <w:rsid w:val="009A426E"/>
    <w:rsid w:val="009A6939"/>
    <w:rsid w:val="009A7337"/>
    <w:rsid w:val="009B205F"/>
    <w:rsid w:val="009B3021"/>
    <w:rsid w:val="009B42EF"/>
    <w:rsid w:val="009B562E"/>
    <w:rsid w:val="009B6D7B"/>
    <w:rsid w:val="009C0ADE"/>
    <w:rsid w:val="009C2B2F"/>
    <w:rsid w:val="009C659B"/>
    <w:rsid w:val="009D2480"/>
    <w:rsid w:val="009D2F02"/>
    <w:rsid w:val="009D3814"/>
    <w:rsid w:val="009D4571"/>
    <w:rsid w:val="009D593D"/>
    <w:rsid w:val="009E2438"/>
    <w:rsid w:val="009E374D"/>
    <w:rsid w:val="009E5E98"/>
    <w:rsid w:val="009E65FE"/>
    <w:rsid w:val="009E6A72"/>
    <w:rsid w:val="009F1903"/>
    <w:rsid w:val="00A03B36"/>
    <w:rsid w:val="00A0693A"/>
    <w:rsid w:val="00A111D5"/>
    <w:rsid w:val="00A11FD1"/>
    <w:rsid w:val="00A13637"/>
    <w:rsid w:val="00A139DC"/>
    <w:rsid w:val="00A22DB6"/>
    <w:rsid w:val="00A23830"/>
    <w:rsid w:val="00A26653"/>
    <w:rsid w:val="00A270F8"/>
    <w:rsid w:val="00A2750C"/>
    <w:rsid w:val="00A3582F"/>
    <w:rsid w:val="00A35B16"/>
    <w:rsid w:val="00A3764A"/>
    <w:rsid w:val="00A409C4"/>
    <w:rsid w:val="00A4309F"/>
    <w:rsid w:val="00A4351F"/>
    <w:rsid w:val="00A43E49"/>
    <w:rsid w:val="00A447CA"/>
    <w:rsid w:val="00A46199"/>
    <w:rsid w:val="00A4630E"/>
    <w:rsid w:val="00A47D38"/>
    <w:rsid w:val="00A57DE9"/>
    <w:rsid w:val="00A6332D"/>
    <w:rsid w:val="00A7146F"/>
    <w:rsid w:val="00A71E86"/>
    <w:rsid w:val="00A73611"/>
    <w:rsid w:val="00A76257"/>
    <w:rsid w:val="00A76A33"/>
    <w:rsid w:val="00A77B79"/>
    <w:rsid w:val="00A80391"/>
    <w:rsid w:val="00A816DF"/>
    <w:rsid w:val="00A8341A"/>
    <w:rsid w:val="00A843B4"/>
    <w:rsid w:val="00A84568"/>
    <w:rsid w:val="00A9046E"/>
    <w:rsid w:val="00A907AE"/>
    <w:rsid w:val="00A90D28"/>
    <w:rsid w:val="00A953B4"/>
    <w:rsid w:val="00A96EE0"/>
    <w:rsid w:val="00AA01BC"/>
    <w:rsid w:val="00AA128F"/>
    <w:rsid w:val="00AA1415"/>
    <w:rsid w:val="00AA280C"/>
    <w:rsid w:val="00AA4086"/>
    <w:rsid w:val="00AA41B6"/>
    <w:rsid w:val="00AA731A"/>
    <w:rsid w:val="00AA75A8"/>
    <w:rsid w:val="00AA775C"/>
    <w:rsid w:val="00AB1CCA"/>
    <w:rsid w:val="00AB1FD3"/>
    <w:rsid w:val="00AB3466"/>
    <w:rsid w:val="00AB3974"/>
    <w:rsid w:val="00AB6561"/>
    <w:rsid w:val="00AC3963"/>
    <w:rsid w:val="00AC511A"/>
    <w:rsid w:val="00AC6ABA"/>
    <w:rsid w:val="00AD1388"/>
    <w:rsid w:val="00AD1CAB"/>
    <w:rsid w:val="00AD277B"/>
    <w:rsid w:val="00AD4B3B"/>
    <w:rsid w:val="00AE20EC"/>
    <w:rsid w:val="00AE5884"/>
    <w:rsid w:val="00AE5AC0"/>
    <w:rsid w:val="00AE5C9C"/>
    <w:rsid w:val="00AE69DB"/>
    <w:rsid w:val="00AF1458"/>
    <w:rsid w:val="00AF3980"/>
    <w:rsid w:val="00AF4FE1"/>
    <w:rsid w:val="00B00B08"/>
    <w:rsid w:val="00B04016"/>
    <w:rsid w:val="00B04D5D"/>
    <w:rsid w:val="00B05C4A"/>
    <w:rsid w:val="00B05D8C"/>
    <w:rsid w:val="00B06641"/>
    <w:rsid w:val="00B0749F"/>
    <w:rsid w:val="00B12A9E"/>
    <w:rsid w:val="00B1343A"/>
    <w:rsid w:val="00B160B2"/>
    <w:rsid w:val="00B16C26"/>
    <w:rsid w:val="00B2387F"/>
    <w:rsid w:val="00B3038C"/>
    <w:rsid w:val="00B33A57"/>
    <w:rsid w:val="00B3631B"/>
    <w:rsid w:val="00B411C4"/>
    <w:rsid w:val="00B44F93"/>
    <w:rsid w:val="00B45627"/>
    <w:rsid w:val="00B469F9"/>
    <w:rsid w:val="00B5064B"/>
    <w:rsid w:val="00B52715"/>
    <w:rsid w:val="00B550B7"/>
    <w:rsid w:val="00B55CEE"/>
    <w:rsid w:val="00B56646"/>
    <w:rsid w:val="00B5791A"/>
    <w:rsid w:val="00B65A2A"/>
    <w:rsid w:val="00B66143"/>
    <w:rsid w:val="00B673F2"/>
    <w:rsid w:val="00B73658"/>
    <w:rsid w:val="00B73AC1"/>
    <w:rsid w:val="00B744A3"/>
    <w:rsid w:val="00B75E34"/>
    <w:rsid w:val="00B75F14"/>
    <w:rsid w:val="00B8067B"/>
    <w:rsid w:val="00B80828"/>
    <w:rsid w:val="00B83F3C"/>
    <w:rsid w:val="00B857B5"/>
    <w:rsid w:val="00B9308C"/>
    <w:rsid w:val="00BA0FDD"/>
    <w:rsid w:val="00BA2680"/>
    <w:rsid w:val="00BA3F45"/>
    <w:rsid w:val="00BA48CA"/>
    <w:rsid w:val="00BB0617"/>
    <w:rsid w:val="00BB141F"/>
    <w:rsid w:val="00BB666A"/>
    <w:rsid w:val="00BB685F"/>
    <w:rsid w:val="00BB6E3C"/>
    <w:rsid w:val="00BB7E14"/>
    <w:rsid w:val="00BC0A37"/>
    <w:rsid w:val="00BC246A"/>
    <w:rsid w:val="00BC3510"/>
    <w:rsid w:val="00BC46CD"/>
    <w:rsid w:val="00BC6DC3"/>
    <w:rsid w:val="00BC76B0"/>
    <w:rsid w:val="00BD0B2D"/>
    <w:rsid w:val="00BD1083"/>
    <w:rsid w:val="00BD276E"/>
    <w:rsid w:val="00BD2973"/>
    <w:rsid w:val="00BD4B21"/>
    <w:rsid w:val="00BD5BAC"/>
    <w:rsid w:val="00BD6357"/>
    <w:rsid w:val="00BE0632"/>
    <w:rsid w:val="00BE0BD0"/>
    <w:rsid w:val="00BE6955"/>
    <w:rsid w:val="00BE7250"/>
    <w:rsid w:val="00BF1D13"/>
    <w:rsid w:val="00C002E9"/>
    <w:rsid w:val="00C034BA"/>
    <w:rsid w:val="00C037D0"/>
    <w:rsid w:val="00C03E70"/>
    <w:rsid w:val="00C040DA"/>
    <w:rsid w:val="00C04B66"/>
    <w:rsid w:val="00C06593"/>
    <w:rsid w:val="00C131AC"/>
    <w:rsid w:val="00C13224"/>
    <w:rsid w:val="00C147C2"/>
    <w:rsid w:val="00C147FD"/>
    <w:rsid w:val="00C17382"/>
    <w:rsid w:val="00C17DDE"/>
    <w:rsid w:val="00C22AF7"/>
    <w:rsid w:val="00C305AD"/>
    <w:rsid w:val="00C30FAB"/>
    <w:rsid w:val="00C313B8"/>
    <w:rsid w:val="00C319CE"/>
    <w:rsid w:val="00C31F84"/>
    <w:rsid w:val="00C328A6"/>
    <w:rsid w:val="00C32B61"/>
    <w:rsid w:val="00C32D72"/>
    <w:rsid w:val="00C335A2"/>
    <w:rsid w:val="00C343C2"/>
    <w:rsid w:val="00C36207"/>
    <w:rsid w:val="00C375AB"/>
    <w:rsid w:val="00C41980"/>
    <w:rsid w:val="00C4780E"/>
    <w:rsid w:val="00C53054"/>
    <w:rsid w:val="00C5360B"/>
    <w:rsid w:val="00C54172"/>
    <w:rsid w:val="00C55A0A"/>
    <w:rsid w:val="00C5710A"/>
    <w:rsid w:val="00C6023C"/>
    <w:rsid w:val="00C620E3"/>
    <w:rsid w:val="00C664E5"/>
    <w:rsid w:val="00C7255B"/>
    <w:rsid w:val="00C74591"/>
    <w:rsid w:val="00C776D7"/>
    <w:rsid w:val="00C82024"/>
    <w:rsid w:val="00C83828"/>
    <w:rsid w:val="00C84293"/>
    <w:rsid w:val="00C86804"/>
    <w:rsid w:val="00C873BA"/>
    <w:rsid w:val="00C907F7"/>
    <w:rsid w:val="00C90E5E"/>
    <w:rsid w:val="00C91F6A"/>
    <w:rsid w:val="00C9249E"/>
    <w:rsid w:val="00C92A2E"/>
    <w:rsid w:val="00C9466B"/>
    <w:rsid w:val="00C96D36"/>
    <w:rsid w:val="00C97CDD"/>
    <w:rsid w:val="00CA4C28"/>
    <w:rsid w:val="00CA6C2C"/>
    <w:rsid w:val="00CA6DA2"/>
    <w:rsid w:val="00CB5DD9"/>
    <w:rsid w:val="00CB6BC9"/>
    <w:rsid w:val="00CC04FA"/>
    <w:rsid w:val="00CC3591"/>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CF7C76"/>
    <w:rsid w:val="00D00425"/>
    <w:rsid w:val="00D023E9"/>
    <w:rsid w:val="00D0266C"/>
    <w:rsid w:val="00D03A1B"/>
    <w:rsid w:val="00D04F1E"/>
    <w:rsid w:val="00D05626"/>
    <w:rsid w:val="00D07034"/>
    <w:rsid w:val="00D07E11"/>
    <w:rsid w:val="00D10450"/>
    <w:rsid w:val="00D16A4A"/>
    <w:rsid w:val="00D2024C"/>
    <w:rsid w:val="00D20E84"/>
    <w:rsid w:val="00D218E8"/>
    <w:rsid w:val="00D21D10"/>
    <w:rsid w:val="00D25E25"/>
    <w:rsid w:val="00D2656D"/>
    <w:rsid w:val="00D2772C"/>
    <w:rsid w:val="00D278B2"/>
    <w:rsid w:val="00D32A1D"/>
    <w:rsid w:val="00D32EF9"/>
    <w:rsid w:val="00D37570"/>
    <w:rsid w:val="00D40856"/>
    <w:rsid w:val="00D41335"/>
    <w:rsid w:val="00D42B41"/>
    <w:rsid w:val="00D443B3"/>
    <w:rsid w:val="00D463C0"/>
    <w:rsid w:val="00D46EB0"/>
    <w:rsid w:val="00D50E86"/>
    <w:rsid w:val="00D51DF0"/>
    <w:rsid w:val="00D5333F"/>
    <w:rsid w:val="00D53442"/>
    <w:rsid w:val="00D5541F"/>
    <w:rsid w:val="00D55FE7"/>
    <w:rsid w:val="00D5627D"/>
    <w:rsid w:val="00D56804"/>
    <w:rsid w:val="00D65E6B"/>
    <w:rsid w:val="00D66069"/>
    <w:rsid w:val="00D670DE"/>
    <w:rsid w:val="00D733D6"/>
    <w:rsid w:val="00D734E6"/>
    <w:rsid w:val="00D742A3"/>
    <w:rsid w:val="00D76C16"/>
    <w:rsid w:val="00D82A2E"/>
    <w:rsid w:val="00D8394E"/>
    <w:rsid w:val="00D8408D"/>
    <w:rsid w:val="00D84744"/>
    <w:rsid w:val="00D8570A"/>
    <w:rsid w:val="00DA04FC"/>
    <w:rsid w:val="00DA1BD1"/>
    <w:rsid w:val="00DA22DE"/>
    <w:rsid w:val="00DB0279"/>
    <w:rsid w:val="00DB52AE"/>
    <w:rsid w:val="00DB6AF3"/>
    <w:rsid w:val="00DB7178"/>
    <w:rsid w:val="00DC4D20"/>
    <w:rsid w:val="00DC5B24"/>
    <w:rsid w:val="00DC626B"/>
    <w:rsid w:val="00DC7C03"/>
    <w:rsid w:val="00DC7FE6"/>
    <w:rsid w:val="00DD025A"/>
    <w:rsid w:val="00DD2FAC"/>
    <w:rsid w:val="00DD381D"/>
    <w:rsid w:val="00DD5F5D"/>
    <w:rsid w:val="00DE3106"/>
    <w:rsid w:val="00DE743F"/>
    <w:rsid w:val="00DF2D29"/>
    <w:rsid w:val="00DF580B"/>
    <w:rsid w:val="00DF5844"/>
    <w:rsid w:val="00DF5A99"/>
    <w:rsid w:val="00DF6E88"/>
    <w:rsid w:val="00DF7223"/>
    <w:rsid w:val="00E00688"/>
    <w:rsid w:val="00E00CFC"/>
    <w:rsid w:val="00E00EE1"/>
    <w:rsid w:val="00E01673"/>
    <w:rsid w:val="00E02488"/>
    <w:rsid w:val="00E025D4"/>
    <w:rsid w:val="00E05C7D"/>
    <w:rsid w:val="00E06667"/>
    <w:rsid w:val="00E14CB9"/>
    <w:rsid w:val="00E1594B"/>
    <w:rsid w:val="00E1595A"/>
    <w:rsid w:val="00E213CC"/>
    <w:rsid w:val="00E23215"/>
    <w:rsid w:val="00E23401"/>
    <w:rsid w:val="00E30361"/>
    <w:rsid w:val="00E363AA"/>
    <w:rsid w:val="00E4654D"/>
    <w:rsid w:val="00E50520"/>
    <w:rsid w:val="00E52CE2"/>
    <w:rsid w:val="00E5414A"/>
    <w:rsid w:val="00E55359"/>
    <w:rsid w:val="00E55741"/>
    <w:rsid w:val="00E558AD"/>
    <w:rsid w:val="00E701F5"/>
    <w:rsid w:val="00E720D3"/>
    <w:rsid w:val="00E72B68"/>
    <w:rsid w:val="00E73113"/>
    <w:rsid w:val="00E750D5"/>
    <w:rsid w:val="00E822E8"/>
    <w:rsid w:val="00E85D41"/>
    <w:rsid w:val="00E86426"/>
    <w:rsid w:val="00E87068"/>
    <w:rsid w:val="00E9112D"/>
    <w:rsid w:val="00E95A31"/>
    <w:rsid w:val="00E9615D"/>
    <w:rsid w:val="00E967AE"/>
    <w:rsid w:val="00EA04EF"/>
    <w:rsid w:val="00EA0F32"/>
    <w:rsid w:val="00EA0FCE"/>
    <w:rsid w:val="00EA7160"/>
    <w:rsid w:val="00EA73DF"/>
    <w:rsid w:val="00EA7B89"/>
    <w:rsid w:val="00EB1C84"/>
    <w:rsid w:val="00EB597A"/>
    <w:rsid w:val="00EB5CF3"/>
    <w:rsid w:val="00EB642C"/>
    <w:rsid w:val="00EB73F8"/>
    <w:rsid w:val="00EC0F44"/>
    <w:rsid w:val="00EC124A"/>
    <w:rsid w:val="00EC1F4F"/>
    <w:rsid w:val="00EC40E6"/>
    <w:rsid w:val="00EC489C"/>
    <w:rsid w:val="00EC7DB4"/>
    <w:rsid w:val="00ED5756"/>
    <w:rsid w:val="00ED743A"/>
    <w:rsid w:val="00ED7DF2"/>
    <w:rsid w:val="00EE3DF8"/>
    <w:rsid w:val="00EE3DFE"/>
    <w:rsid w:val="00EE73D7"/>
    <w:rsid w:val="00EF0CC0"/>
    <w:rsid w:val="00EF3F06"/>
    <w:rsid w:val="00EF454E"/>
    <w:rsid w:val="00EF58A4"/>
    <w:rsid w:val="00EF5AC6"/>
    <w:rsid w:val="00F01009"/>
    <w:rsid w:val="00F0569C"/>
    <w:rsid w:val="00F1246E"/>
    <w:rsid w:val="00F141BD"/>
    <w:rsid w:val="00F20AEE"/>
    <w:rsid w:val="00F211B2"/>
    <w:rsid w:val="00F22D16"/>
    <w:rsid w:val="00F2511C"/>
    <w:rsid w:val="00F26091"/>
    <w:rsid w:val="00F2713E"/>
    <w:rsid w:val="00F33D54"/>
    <w:rsid w:val="00F3453C"/>
    <w:rsid w:val="00F35765"/>
    <w:rsid w:val="00F369D0"/>
    <w:rsid w:val="00F36AEC"/>
    <w:rsid w:val="00F4239E"/>
    <w:rsid w:val="00F43A4F"/>
    <w:rsid w:val="00F44531"/>
    <w:rsid w:val="00F473F4"/>
    <w:rsid w:val="00F47FF2"/>
    <w:rsid w:val="00F528FE"/>
    <w:rsid w:val="00F60B77"/>
    <w:rsid w:val="00F65DC5"/>
    <w:rsid w:val="00F672FF"/>
    <w:rsid w:val="00F707C0"/>
    <w:rsid w:val="00F73710"/>
    <w:rsid w:val="00F73E0C"/>
    <w:rsid w:val="00F777CC"/>
    <w:rsid w:val="00F873E7"/>
    <w:rsid w:val="00F8747B"/>
    <w:rsid w:val="00F90801"/>
    <w:rsid w:val="00F917CB"/>
    <w:rsid w:val="00F928C8"/>
    <w:rsid w:val="00F93E0C"/>
    <w:rsid w:val="00F95D32"/>
    <w:rsid w:val="00FA1C90"/>
    <w:rsid w:val="00FA4248"/>
    <w:rsid w:val="00FA5030"/>
    <w:rsid w:val="00FA603C"/>
    <w:rsid w:val="00FA6A5B"/>
    <w:rsid w:val="00FB3709"/>
    <w:rsid w:val="00FB6BB5"/>
    <w:rsid w:val="00FC1CD3"/>
    <w:rsid w:val="00FC37F3"/>
    <w:rsid w:val="00FC4704"/>
    <w:rsid w:val="00FC6013"/>
    <w:rsid w:val="00FD172F"/>
    <w:rsid w:val="00FD3B4F"/>
    <w:rsid w:val="00FD3DAA"/>
    <w:rsid w:val="00FD5179"/>
    <w:rsid w:val="00FE0467"/>
    <w:rsid w:val="00FE710B"/>
    <w:rsid w:val="00FE7A27"/>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82F8A8"/>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ind w:firstLine="720"/>
    </w:pPr>
    <w:rPr>
      <w:sz w:val="24"/>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basedOn w:val="Normal"/>
    <w:next w:val="Normal"/>
    <w:link w:val="Heading4Char"/>
    <w:uiPriority w:val="9"/>
    <w:qFormat/>
    <w:pPr>
      <w:numPr>
        <w:ilvl w:val="3"/>
        <w:numId w:val="18"/>
      </w:numPr>
      <w:ind w:firstLine="0"/>
      <w:outlineLvl w:val="3"/>
    </w:pPr>
  </w:style>
  <w:style w:type="paragraph" w:styleId="Heading5">
    <w:name w:val="heading 5"/>
    <w:basedOn w:val="Normal"/>
    <w:next w:val="Normal"/>
    <w:link w:val="Heading5Char"/>
    <w:uiPriority w:val="9"/>
    <w:qFormat/>
    <w:pPr>
      <w:numPr>
        <w:ilvl w:val="4"/>
        <w:numId w:val="18"/>
      </w:numPr>
      <w:ind w:firstLine="0"/>
      <w:outlineLvl w:val="4"/>
    </w:pPr>
  </w:style>
  <w:style w:type="paragraph" w:styleId="Heading6">
    <w:name w:val="heading 6"/>
    <w:basedOn w:val="Normal"/>
    <w:next w:val="Normal"/>
    <w:link w:val="Heading6Char"/>
    <w:uiPriority w:val="9"/>
    <w:qFormat/>
    <w:pPr>
      <w:numPr>
        <w:ilvl w:val="5"/>
        <w:numId w:val="18"/>
      </w:numPr>
      <w:ind w:firstLine="0"/>
      <w:outlineLvl w:val="5"/>
    </w:pPr>
  </w:style>
  <w:style w:type="paragraph" w:styleId="Heading7">
    <w:name w:val="heading 7"/>
    <w:basedOn w:val="Normal"/>
    <w:next w:val="Normal"/>
    <w:link w:val="Heading7Char"/>
    <w:uiPriority w:val="9"/>
    <w:qFormat/>
    <w:pPr>
      <w:numPr>
        <w:ilvl w:val="6"/>
        <w:numId w:val="18"/>
      </w:numPr>
      <w:ind w:firstLine="0"/>
      <w:outlineLvl w:val="6"/>
    </w:pPr>
  </w:style>
  <w:style w:type="paragraph" w:styleId="Heading8">
    <w:name w:val="heading 8"/>
    <w:basedOn w:val="Normal"/>
    <w:next w:val="Normal"/>
    <w:link w:val="Heading8Char"/>
    <w:uiPriority w:val="9"/>
    <w:qFormat/>
    <w:pPr>
      <w:numPr>
        <w:ilvl w:val="7"/>
        <w:numId w:val="18"/>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新細明體" w:hAnsi="Cambria" w:cs="Times New Roman"/>
      <w:b/>
      <w:bCs/>
      <w:kern w:val="32"/>
      <w:sz w:val="32"/>
      <w:szCs w:val="32"/>
      <w:lang w:eastAsia="en-US"/>
    </w:rPr>
  </w:style>
  <w:style w:type="character" w:customStyle="1" w:styleId="Heading2Char">
    <w:name w:val="Heading 2 Char"/>
    <w:link w:val="Heading2"/>
    <w:uiPriority w:val="9"/>
    <w:semiHidden/>
    <w:rPr>
      <w:rFonts w:ascii="Cambria" w:eastAsia="新細明體" w:hAnsi="Cambria" w:cs="Times New Roman"/>
      <w:b/>
      <w:bCs/>
      <w:i/>
      <w:iCs/>
      <w:sz w:val="28"/>
      <w:szCs w:val="28"/>
      <w:lang w:eastAsia="en-US"/>
    </w:rPr>
  </w:style>
  <w:style w:type="character" w:customStyle="1" w:styleId="Heading3Char">
    <w:name w:val="Heading 3 Char"/>
    <w:link w:val="Heading3"/>
    <w:uiPriority w:val="9"/>
    <w:semiHidden/>
    <w:rPr>
      <w:rFonts w:ascii="Cambria" w:eastAsia="新細明體" w:hAnsi="Cambria" w:cs="Times New Roman"/>
      <w:b/>
      <w:bCs/>
      <w:sz w:val="26"/>
      <w:szCs w:val="26"/>
      <w:lang w:eastAsia="en-US"/>
    </w:rPr>
  </w:style>
  <w:style w:type="character" w:customStyle="1" w:styleId="Heading4Char">
    <w:name w:val="Heading 4 Char"/>
    <w:link w:val="Heading4"/>
    <w:uiPriority w:val="9"/>
    <w:semiHidden/>
    <w:rPr>
      <w:rFonts w:ascii="Calibri" w:eastAsia="新細明體" w:hAnsi="Calibri" w:cs="Times New Roman"/>
      <w:b/>
      <w:bCs/>
      <w:sz w:val="28"/>
      <w:szCs w:val="28"/>
      <w:lang w:eastAsia="en-US"/>
    </w:rPr>
  </w:style>
  <w:style w:type="character" w:customStyle="1" w:styleId="Heading5Char">
    <w:name w:val="Heading 5 Char"/>
    <w:link w:val="Heading5"/>
    <w:uiPriority w:val="9"/>
    <w:semiHidden/>
    <w:rPr>
      <w:rFonts w:ascii="Calibri" w:eastAsia="新細明體" w:hAnsi="Calibri" w:cs="Times New Roman"/>
      <w:b/>
      <w:bCs/>
      <w:i/>
      <w:iCs/>
      <w:sz w:val="26"/>
      <w:szCs w:val="26"/>
      <w:lang w:eastAsia="en-US"/>
    </w:rPr>
  </w:style>
  <w:style w:type="character" w:customStyle="1" w:styleId="Heading6Char">
    <w:name w:val="Heading 6 Char"/>
    <w:link w:val="Heading6"/>
    <w:uiPriority w:val="9"/>
    <w:semiHidden/>
    <w:rPr>
      <w:rFonts w:ascii="Calibri" w:eastAsia="新細明體" w:hAnsi="Calibri" w:cs="Times New Roman"/>
      <w:b/>
      <w:bCs/>
      <w:sz w:val="22"/>
      <w:szCs w:val="22"/>
      <w:lang w:eastAsia="en-US"/>
    </w:rPr>
  </w:style>
  <w:style w:type="character" w:customStyle="1" w:styleId="Heading7Char">
    <w:name w:val="Heading 7 Char"/>
    <w:link w:val="Heading7"/>
    <w:uiPriority w:val="9"/>
    <w:semiHidden/>
    <w:rPr>
      <w:rFonts w:ascii="Calibri" w:eastAsia="新細明體" w:hAnsi="Calibri" w:cs="Times New Roman"/>
      <w:sz w:val="24"/>
      <w:szCs w:val="24"/>
      <w:lang w:eastAsia="en-US"/>
    </w:rPr>
  </w:style>
  <w:style w:type="character" w:customStyle="1" w:styleId="Heading8Char">
    <w:name w:val="Heading 8 Char"/>
    <w:link w:val="Heading8"/>
    <w:uiPriority w:val="9"/>
    <w:semiHidden/>
    <w:rPr>
      <w:rFonts w:ascii="Calibri" w:eastAsia="新細明體" w:hAnsi="Calibri" w:cs="Times New Roman"/>
      <w:i/>
      <w:iCs/>
      <w:sz w:val="24"/>
      <w:szCs w:val="24"/>
      <w:lang w:eastAsia="en-US"/>
    </w:rPr>
  </w:style>
  <w:style w:type="character" w:customStyle="1" w:styleId="Heading9Char">
    <w:name w:val="Heading 9 Char"/>
    <w:link w:val="Heading9"/>
    <w:uiPriority w:val="9"/>
    <w:semiHidden/>
    <w:rPr>
      <w:rFonts w:ascii="Cambria" w:eastAsia="新細明體" w:hAnsi="Cambria" w:cs="Times New Roman"/>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Lucida Grande" w:hAnsi="Lucida Grande" w:cs="Lucida Grande"/>
      <w:sz w:val="24"/>
      <w:szCs w:val="24"/>
      <w:lang w:eastAsia="en-US"/>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link w:val="EndnoteText"/>
    <w:uiPriority w:val="99"/>
    <w:semiHidden/>
    <w:rPr>
      <w:sz w:val="24"/>
      <w:szCs w:val="24"/>
      <w:lang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Pr>
      <w:rFonts w:ascii="Courier" w:hAnsi="Courier"/>
      <w:lang w:eastAsia="en-US"/>
    </w:rPr>
  </w:style>
  <w:style w:type="table" w:styleId="Table3Deffects1">
    <w:name w:val="Table 3D effects 1"/>
    <w:basedOn w:val="TableNormal"/>
    <w:uiPriority w:val="99"/>
    <w:semiHidden/>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semiHidden/>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styleId="ListParagraph">
    <w:name w:val="List Paragraph"/>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link w:val="CommentSubject"/>
    <w:semiHidden/>
    <w:rsid w:val="00E95A31"/>
    <w:rPr>
      <w:rFonts w:cs="Times New Roman"/>
      <w:b/>
      <w:bCs/>
      <w:lang w:val="x-none" w:eastAsia="en-US"/>
    </w:rPr>
  </w:style>
  <w:style w:type="paragraph" w:styleId="Revision">
    <w:name w:val="Revision"/>
    <w:hidden/>
    <w:uiPriority w:val="99"/>
    <w:semiHidden/>
    <w:rsid w:val="00E95A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5D3A-6FDA-AC41-8242-AD6FED507526}">
  <ds:schemaRefs>
    <ds:schemaRef ds:uri="http://schemas.openxmlformats.org/officeDocument/2006/bibliography"/>
  </ds:schemaRefs>
</ds:datastoreItem>
</file>

<file path=customXml/itemProps2.xml><?xml version="1.0" encoding="utf-8"?>
<ds:datastoreItem xmlns:ds="http://schemas.openxmlformats.org/officeDocument/2006/customXml" ds:itemID="{8553CF27-53A1-D243-980B-F6E39EE147FA}">
  <ds:schemaRefs>
    <ds:schemaRef ds:uri="http://schemas.openxmlformats.org/officeDocument/2006/bibliography"/>
  </ds:schemaRefs>
</ds:datastoreItem>
</file>

<file path=customXml/itemProps3.xml><?xml version="1.0" encoding="utf-8"?>
<ds:datastoreItem xmlns:ds="http://schemas.openxmlformats.org/officeDocument/2006/customXml" ds:itemID="{A090CBDC-7BF0-3B4C-A55B-B1D2B47B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4389</Words>
  <Characters>25019</Characters>
  <Application>Microsoft Macintosh Word</Application>
  <DocSecurity>0</DocSecurity>
  <Lines>208</Lines>
  <Paragraphs>58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Crowd Safe with Cap and Discount</vt:lpstr>
      <vt:lpstr>CROWD SAFE </vt:lpstr>
      <vt:lpstr>(Crowdfunding Simple Agreement for Future Equity)</vt:lpstr>
      <vt:lpstr/>
      <vt:lpstr>1.  Events</vt:lpstr>
      <vt:lpstr>2.  Definitions</vt:lpstr>
      <vt:lpstr>“Common Stock” means common stock, par value [$0.  ] per share, of the Company.</vt:lpstr>
      <vt:lpstr>3.  Company Representations</vt:lpstr>
      <vt:lpstr>4.  Investor Representations</vt:lpstr>
      <vt:lpstr>5.  Transfer Restrictions. </vt:lpstr>
      <vt:lpstr>(d)	Without in any way limiting the representations and warranties set forth in </vt:lpstr>
      <vt:lpstr>        (i)	There is then in effect a registration statement under the Securities Act co</vt:lpstr>
      <vt:lpstr>        (ii)	Each Investor shall have notified the Company of the proposed disposition a</vt:lpstr>
      <vt:lpstr>    (e)	Each Investor understands and agrees that the certificates, book entry or ot</vt:lpstr>
      <vt:lpstr>6.  Miscellaneous</vt:lpstr>
      <vt:lpstr/>
      <vt:lpstr>By: 						</vt:lpstr>
      <vt:lpstr>Address: 	</vt:lpstr>
      <vt:lpstr>Email:	</vt:lpstr>
      <vt:lpstr/>
      <vt:lpstr>INVESTOR:</vt:lpstr>
      <vt:lpstr>By:		</vt:lpstr>
      <vt:lpstr>Address: 	</vt:lpstr>
      <vt:lpstr>Email:	</vt:lpstr>
      <vt:lpstr/>
    </vt:vector>
  </TitlesOfParts>
  <Manager/>
  <Company/>
  <LinksUpToDate>false</LinksUpToDate>
  <CharactersWithSpaces>29350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 Safe with Cap and Discount</dc:title>
  <dc:subject/>
  <dc:creator/>
  <cp:keywords/>
  <dc:description/>
  <cp:lastModifiedBy/>
  <cp:revision>1</cp:revision>
  <cp:lastPrinted>2010-10-18T19:48:00Z</cp:lastPrinted>
  <dcterms:created xsi:type="dcterms:W3CDTF">2016-07-18T07:33:00Z</dcterms:created>
  <dcterms:modified xsi:type="dcterms:W3CDTF">2016-07-18T08:02:00Z</dcterms:modified>
  <cp:category/>
</cp:coreProperties>
</file>