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A369E" w14:textId="77777777" w:rsidR="00DC0ACF" w:rsidRPr="0063792C" w:rsidRDefault="00DC0ACF" w:rsidP="00DC0ACF">
      <w:pPr>
        <w:jc w:val="center"/>
        <w:rPr>
          <w:b/>
        </w:rPr>
      </w:pPr>
      <w:r w:rsidRPr="0063792C">
        <w:rPr>
          <w:b/>
        </w:rPr>
        <w:t>UNITED STATES</w:t>
      </w:r>
    </w:p>
    <w:p w14:paraId="118E2D08" w14:textId="77777777" w:rsidR="00DC0ACF" w:rsidRPr="0063792C" w:rsidRDefault="00DC0ACF" w:rsidP="00DC0ACF">
      <w:pPr>
        <w:jc w:val="center"/>
        <w:rPr>
          <w:b/>
        </w:rPr>
      </w:pPr>
      <w:r w:rsidRPr="0063792C">
        <w:rPr>
          <w:b/>
        </w:rPr>
        <w:t>SECURITIES AND EXCHANGE COMMISSION</w:t>
      </w:r>
    </w:p>
    <w:p w14:paraId="16625963" w14:textId="77777777" w:rsidR="00DC0ACF" w:rsidRPr="0063792C" w:rsidRDefault="00DC0ACF" w:rsidP="00DC0ACF">
      <w:pPr>
        <w:jc w:val="center"/>
      </w:pPr>
      <w:r w:rsidRPr="0063792C">
        <w:rPr>
          <w:b/>
        </w:rPr>
        <w:t>Washington, D.C. 20549</w:t>
      </w:r>
    </w:p>
    <w:p w14:paraId="560BD765" w14:textId="77777777" w:rsidR="00DC0ACF" w:rsidRPr="0063792C" w:rsidRDefault="00DC0ACF" w:rsidP="00DC0ACF"/>
    <w:p w14:paraId="1F5332E2" w14:textId="77777777" w:rsidR="00DC0ACF" w:rsidRPr="0063792C" w:rsidRDefault="00DC0ACF" w:rsidP="00DC0ACF">
      <w:pPr>
        <w:jc w:val="center"/>
      </w:pPr>
      <w:r w:rsidRPr="0063792C">
        <w:rPr>
          <w:b/>
        </w:rPr>
        <w:t>FORM C</w:t>
      </w:r>
    </w:p>
    <w:p w14:paraId="55D3BEE0" w14:textId="77777777" w:rsidR="00DC0ACF" w:rsidRPr="0063792C" w:rsidRDefault="00DC0ACF" w:rsidP="00DC0ACF"/>
    <w:p w14:paraId="374E68BF" w14:textId="77777777" w:rsidR="00DC0ACF" w:rsidRPr="0063792C" w:rsidRDefault="00DC0ACF" w:rsidP="00DC0ACF">
      <w:pPr>
        <w:jc w:val="center"/>
      </w:pPr>
      <w:r w:rsidRPr="0063792C">
        <w:rPr>
          <w:b/>
        </w:rPr>
        <w:t>UNDER THE SECURITIES ACT OF 1933</w:t>
      </w:r>
    </w:p>
    <w:p w14:paraId="56154B44" w14:textId="77777777" w:rsidR="00DC0ACF" w:rsidRPr="0063792C" w:rsidRDefault="00DC0ACF" w:rsidP="00DC0ACF"/>
    <w:p w14:paraId="09F54E6B" w14:textId="77777777" w:rsidR="00DC0ACF" w:rsidRPr="0063792C" w:rsidRDefault="00DC0ACF" w:rsidP="00DC0ACF">
      <w:pPr>
        <w:spacing w:beforeLines="120" w:before="288" w:afterLines="120" w:after="288"/>
        <w:contextualSpacing/>
      </w:pPr>
      <w:r w:rsidRPr="0063792C">
        <w:t>(Mark one.)</w:t>
      </w:r>
    </w:p>
    <w:p w14:paraId="22CE02C4" w14:textId="77777777" w:rsidR="00DC0ACF" w:rsidRPr="0063792C" w:rsidRDefault="00DC0ACF" w:rsidP="00DC0ACF">
      <w:pPr>
        <w:spacing w:beforeLines="120" w:before="288" w:afterLines="120" w:after="288"/>
        <w:contextualSpacing/>
      </w:pPr>
    </w:p>
    <w:p w14:paraId="544CCCE7" w14:textId="77777777" w:rsidR="00DC0ACF" w:rsidRPr="0063792C" w:rsidRDefault="00DC0ACF" w:rsidP="00DC0ACF">
      <w:pPr>
        <w:numPr>
          <w:ilvl w:val="0"/>
          <w:numId w:val="10"/>
        </w:numPr>
        <w:spacing w:beforeLines="120" w:before="288" w:afterLines="120" w:after="288"/>
        <w:contextualSpacing/>
      </w:pPr>
      <w:r w:rsidRPr="0063792C">
        <w:t>Form C: Offering Statement</w:t>
      </w:r>
    </w:p>
    <w:p w14:paraId="215DA07F" w14:textId="77777777" w:rsidR="00DC0ACF" w:rsidRPr="0063792C" w:rsidRDefault="00DC0ACF" w:rsidP="00DC0ACF">
      <w:pPr>
        <w:numPr>
          <w:ilvl w:val="0"/>
          <w:numId w:val="1"/>
        </w:numPr>
        <w:spacing w:beforeLines="120" w:before="288" w:afterLines="120" w:after="288"/>
        <w:contextualSpacing/>
      </w:pPr>
      <w:r w:rsidRPr="0063792C">
        <w:t>Form C-U: Progress Update</w:t>
      </w:r>
    </w:p>
    <w:p w14:paraId="1FE2F52A" w14:textId="77777777" w:rsidR="00DC0ACF" w:rsidRPr="0063792C" w:rsidRDefault="00DC0ACF" w:rsidP="00DC0ACF">
      <w:pPr>
        <w:numPr>
          <w:ilvl w:val="0"/>
          <w:numId w:val="1"/>
        </w:numPr>
        <w:spacing w:beforeLines="120" w:before="288" w:afterLines="120" w:after="288"/>
        <w:contextualSpacing/>
      </w:pPr>
      <w:r w:rsidRPr="0063792C">
        <w:t>Form C/A: Amendment to Offering Statement</w:t>
      </w:r>
    </w:p>
    <w:p w14:paraId="60E41B9B" w14:textId="77777777" w:rsidR="00DC0ACF" w:rsidRPr="0063792C" w:rsidRDefault="00DC0ACF" w:rsidP="00DC0ACF">
      <w:pPr>
        <w:numPr>
          <w:ilvl w:val="1"/>
          <w:numId w:val="1"/>
        </w:numPr>
        <w:spacing w:beforeLines="120" w:before="288" w:afterLines="120" w:after="288"/>
        <w:contextualSpacing/>
      </w:pPr>
      <w:r w:rsidRPr="0063792C">
        <w:t>Check box if Amendment is material and investors must reconfirm within five business days.</w:t>
      </w:r>
    </w:p>
    <w:p w14:paraId="2A03F0DC" w14:textId="77777777" w:rsidR="00DC0ACF" w:rsidRPr="0063792C" w:rsidRDefault="00DC0ACF" w:rsidP="00DC0ACF">
      <w:pPr>
        <w:numPr>
          <w:ilvl w:val="0"/>
          <w:numId w:val="1"/>
        </w:numPr>
        <w:spacing w:beforeLines="120" w:before="288" w:afterLines="120" w:after="288"/>
        <w:contextualSpacing/>
      </w:pPr>
      <w:r w:rsidRPr="0063792C">
        <w:t>Form C-AR: Annual Report</w:t>
      </w:r>
    </w:p>
    <w:p w14:paraId="743C02CF" w14:textId="77777777" w:rsidR="00DC0ACF" w:rsidRPr="0063792C" w:rsidRDefault="00DC0ACF" w:rsidP="00DC0ACF">
      <w:pPr>
        <w:numPr>
          <w:ilvl w:val="0"/>
          <w:numId w:val="1"/>
        </w:numPr>
        <w:spacing w:beforeLines="120" w:before="288" w:afterLines="120" w:after="288"/>
        <w:contextualSpacing/>
      </w:pPr>
      <w:r w:rsidRPr="0063792C">
        <w:t>Form C-AR/A: Amendment to Annual Report</w:t>
      </w:r>
    </w:p>
    <w:p w14:paraId="3D44A5B4" w14:textId="77777777" w:rsidR="00DC0ACF" w:rsidRPr="0063792C" w:rsidRDefault="00DC0ACF" w:rsidP="00DC0ACF">
      <w:pPr>
        <w:numPr>
          <w:ilvl w:val="0"/>
          <w:numId w:val="1"/>
        </w:numPr>
        <w:spacing w:beforeLines="120" w:before="288" w:afterLines="120" w:after="288"/>
        <w:contextualSpacing/>
      </w:pPr>
      <w:r w:rsidRPr="0063792C">
        <w:t>Form C-TR: Termination of Reporting</w:t>
      </w:r>
    </w:p>
    <w:p w14:paraId="0D95B074" w14:textId="77777777" w:rsidR="00DC0ACF" w:rsidRPr="0063792C" w:rsidRDefault="00DC0ACF" w:rsidP="00DC0ACF">
      <w:pPr>
        <w:spacing w:beforeLines="120" w:before="288" w:afterLines="120" w:after="288"/>
        <w:contextualSpacing/>
      </w:pPr>
    </w:p>
    <w:p w14:paraId="429EFF3F" w14:textId="77777777" w:rsidR="00DC0ACF" w:rsidRPr="0063792C" w:rsidRDefault="00DC0ACF" w:rsidP="00DC0ACF">
      <w:pPr>
        <w:spacing w:beforeLines="120" w:before="288" w:afterLines="120" w:after="288"/>
        <w:contextualSpacing/>
        <w:rPr>
          <w:b/>
          <w:i/>
        </w:rPr>
      </w:pPr>
      <w:r w:rsidRPr="0063792C">
        <w:rPr>
          <w:b/>
          <w:i/>
        </w:rPr>
        <w:t xml:space="preserve">Name of </w:t>
      </w:r>
      <w:r>
        <w:rPr>
          <w:b/>
          <w:i/>
        </w:rPr>
        <w:t>I</w:t>
      </w:r>
      <w:r w:rsidRPr="0063792C">
        <w:rPr>
          <w:b/>
          <w:i/>
        </w:rPr>
        <w:t>ssuer</w:t>
      </w:r>
      <w:r>
        <w:rPr>
          <w:b/>
          <w:i/>
        </w:rPr>
        <w:t>:</w:t>
      </w:r>
    </w:p>
    <w:p w14:paraId="68B2FB10" w14:textId="77777777" w:rsidR="00DC0ACF" w:rsidRPr="0063792C" w:rsidRDefault="00DC0ACF" w:rsidP="00DC0ACF">
      <w:pPr>
        <w:spacing w:beforeLines="120" w:before="288" w:afterLines="120" w:after="288"/>
        <w:contextualSpacing/>
      </w:pPr>
    </w:p>
    <w:p w14:paraId="35567339" w14:textId="4E27398C" w:rsidR="00DC0ACF" w:rsidRPr="0063792C" w:rsidRDefault="00E96418" w:rsidP="00DC0ACF">
      <w:pPr>
        <w:spacing w:beforeLines="120" w:before="288" w:afterLines="120" w:after="288"/>
        <w:contextualSpacing/>
      </w:pPr>
      <w:r w:rsidRPr="00E96418">
        <w:t>StartGlobal, Inc.</w:t>
      </w:r>
    </w:p>
    <w:p w14:paraId="508F2673" w14:textId="77777777" w:rsidR="00DC0ACF" w:rsidRPr="0063792C" w:rsidRDefault="00DC0ACF" w:rsidP="00DC0ACF">
      <w:pPr>
        <w:spacing w:beforeLines="120" w:before="288" w:afterLines="120" w:after="288"/>
        <w:contextualSpacing/>
      </w:pPr>
    </w:p>
    <w:p w14:paraId="1EC2F454" w14:textId="77777777" w:rsidR="00DC0ACF" w:rsidRPr="0063792C" w:rsidRDefault="00DC0ACF" w:rsidP="00DC0ACF">
      <w:pPr>
        <w:spacing w:beforeLines="120" w:before="288" w:afterLines="120" w:after="288"/>
        <w:contextualSpacing/>
      </w:pPr>
      <w:r w:rsidRPr="0063792C">
        <w:rPr>
          <w:b/>
          <w:i/>
        </w:rPr>
        <w:t xml:space="preserve">Legal status of </w:t>
      </w:r>
      <w:r>
        <w:rPr>
          <w:b/>
          <w:i/>
        </w:rPr>
        <w:t>I</w:t>
      </w:r>
      <w:r w:rsidRPr="0063792C">
        <w:rPr>
          <w:b/>
          <w:i/>
        </w:rPr>
        <w:t>ssuer</w:t>
      </w:r>
      <w:r>
        <w:rPr>
          <w:b/>
          <w:i/>
        </w:rPr>
        <w:t>:</w:t>
      </w:r>
    </w:p>
    <w:p w14:paraId="3823F93B" w14:textId="77777777" w:rsidR="00DC0ACF" w:rsidRPr="0063792C" w:rsidRDefault="00DC0ACF" w:rsidP="00DC0ACF">
      <w:pPr>
        <w:spacing w:beforeLines="120" w:before="288" w:afterLines="120" w:after="288"/>
        <w:contextualSpacing/>
      </w:pPr>
    </w:p>
    <w:p w14:paraId="571D278C" w14:textId="77777777" w:rsidR="00DC0ACF" w:rsidRPr="0063792C" w:rsidRDefault="00DC0ACF" w:rsidP="00DC0ACF">
      <w:pPr>
        <w:spacing w:beforeLines="120" w:before="288" w:afterLines="120" w:after="288"/>
        <w:contextualSpacing/>
        <w:rPr>
          <w:b/>
          <w:i/>
        </w:rPr>
      </w:pPr>
      <w:r w:rsidRPr="0063792C">
        <w:rPr>
          <w:b/>
          <w:i/>
        </w:rPr>
        <w:tab/>
        <w:t>Form</w:t>
      </w:r>
      <w:r>
        <w:rPr>
          <w:b/>
          <w:i/>
        </w:rPr>
        <w:t>:</w:t>
      </w:r>
    </w:p>
    <w:p w14:paraId="1482FAE8" w14:textId="77777777" w:rsidR="00DC0ACF" w:rsidRPr="0063792C" w:rsidRDefault="00DC0ACF" w:rsidP="00DC0ACF">
      <w:pPr>
        <w:spacing w:beforeLines="120" w:before="288" w:afterLines="120" w:after="288"/>
        <w:contextualSpacing/>
      </w:pPr>
    </w:p>
    <w:p w14:paraId="7FE04FF9" w14:textId="6ED285A8" w:rsidR="00DC0ACF" w:rsidRPr="0063792C" w:rsidRDefault="00DC0ACF" w:rsidP="00DC0ACF">
      <w:pPr>
        <w:spacing w:beforeLines="120" w:before="288" w:afterLines="120" w:after="288"/>
        <w:contextualSpacing/>
      </w:pPr>
      <w:r w:rsidRPr="0063792C">
        <w:tab/>
      </w:r>
      <w:r w:rsidRPr="006353D8">
        <w:t>Corporation</w:t>
      </w:r>
    </w:p>
    <w:p w14:paraId="5B68FE6A" w14:textId="77777777" w:rsidR="00DC0ACF" w:rsidRPr="0063792C" w:rsidRDefault="00DC0ACF" w:rsidP="00DC0ACF">
      <w:pPr>
        <w:spacing w:beforeLines="120" w:before="288" w:afterLines="120" w:after="288"/>
        <w:contextualSpacing/>
      </w:pPr>
    </w:p>
    <w:p w14:paraId="65F50531" w14:textId="77777777" w:rsidR="00DC0ACF" w:rsidRPr="0063792C" w:rsidRDefault="00DC0ACF" w:rsidP="00DC0ACF">
      <w:pPr>
        <w:spacing w:beforeLines="120" w:before="288" w:afterLines="120" w:after="288"/>
        <w:contextualSpacing/>
        <w:rPr>
          <w:b/>
          <w:i/>
        </w:rPr>
      </w:pPr>
      <w:r w:rsidRPr="0063792C">
        <w:rPr>
          <w:b/>
          <w:i/>
        </w:rPr>
        <w:tab/>
        <w:t>Jurisdiction of Incorporation/Organization</w:t>
      </w:r>
      <w:r>
        <w:rPr>
          <w:b/>
          <w:i/>
        </w:rPr>
        <w:t>:</w:t>
      </w:r>
    </w:p>
    <w:p w14:paraId="03D51D18" w14:textId="77777777" w:rsidR="00DC0ACF" w:rsidRPr="0063792C" w:rsidRDefault="00DC0ACF" w:rsidP="00DC0ACF">
      <w:pPr>
        <w:spacing w:beforeLines="120" w:before="288" w:afterLines="120" w:after="288"/>
        <w:contextualSpacing/>
      </w:pPr>
    </w:p>
    <w:p w14:paraId="21C9D19A" w14:textId="292C01C8" w:rsidR="00DC0ACF" w:rsidRPr="0063792C" w:rsidRDefault="00DC0ACF" w:rsidP="00DC0ACF">
      <w:pPr>
        <w:spacing w:beforeLines="120" w:before="288" w:afterLines="120" w:after="288"/>
        <w:contextualSpacing/>
      </w:pPr>
      <w:r w:rsidRPr="0063792C">
        <w:tab/>
      </w:r>
      <w:r w:rsidR="00E96418">
        <w:t>Delaware</w:t>
      </w:r>
    </w:p>
    <w:p w14:paraId="567AB70B" w14:textId="77777777" w:rsidR="00DC0ACF" w:rsidRPr="0063792C" w:rsidRDefault="00DC0ACF" w:rsidP="00DC0ACF">
      <w:pPr>
        <w:spacing w:beforeLines="120" w:before="288" w:afterLines="120" w:after="288"/>
        <w:contextualSpacing/>
      </w:pPr>
    </w:p>
    <w:p w14:paraId="3CCD0061" w14:textId="77777777" w:rsidR="00DC0ACF" w:rsidRPr="0063792C" w:rsidRDefault="00DC0ACF" w:rsidP="00DC0ACF">
      <w:pPr>
        <w:spacing w:beforeLines="120" w:before="288" w:afterLines="120" w:after="288"/>
        <w:contextualSpacing/>
        <w:rPr>
          <w:b/>
          <w:i/>
        </w:rPr>
      </w:pPr>
      <w:r w:rsidRPr="0063792C">
        <w:rPr>
          <w:b/>
          <w:i/>
        </w:rPr>
        <w:tab/>
        <w:t xml:space="preserve">Date of </w:t>
      </w:r>
      <w:r>
        <w:rPr>
          <w:b/>
          <w:i/>
        </w:rPr>
        <w:t>O</w:t>
      </w:r>
      <w:r w:rsidRPr="0063792C">
        <w:rPr>
          <w:b/>
          <w:i/>
        </w:rPr>
        <w:t>rganization</w:t>
      </w:r>
      <w:r>
        <w:rPr>
          <w:b/>
          <w:i/>
        </w:rPr>
        <w:t>:</w:t>
      </w:r>
    </w:p>
    <w:p w14:paraId="1F946BD9" w14:textId="77777777" w:rsidR="00DC0ACF" w:rsidRPr="0063792C" w:rsidRDefault="00DC0ACF" w:rsidP="00DC0ACF">
      <w:pPr>
        <w:spacing w:beforeLines="120" w:before="288" w:afterLines="120" w:after="288"/>
        <w:contextualSpacing/>
      </w:pPr>
    </w:p>
    <w:p w14:paraId="1BFA18CF" w14:textId="17358701" w:rsidR="00DC0ACF" w:rsidRPr="0063792C" w:rsidRDefault="00DC0ACF" w:rsidP="00DC0ACF">
      <w:pPr>
        <w:spacing w:beforeLines="120" w:before="288" w:afterLines="120" w:after="288"/>
        <w:contextualSpacing/>
      </w:pPr>
      <w:r w:rsidRPr="0063792C">
        <w:tab/>
      </w:r>
      <w:r w:rsidR="00E96418">
        <w:t>July 27, 2016</w:t>
      </w:r>
    </w:p>
    <w:p w14:paraId="649680C8" w14:textId="77777777" w:rsidR="00DC0ACF" w:rsidRPr="0063792C" w:rsidRDefault="00DC0ACF" w:rsidP="00DC0ACF">
      <w:pPr>
        <w:spacing w:beforeLines="120" w:before="288" w:afterLines="120" w:after="288"/>
        <w:contextualSpacing/>
      </w:pPr>
    </w:p>
    <w:p w14:paraId="7CD772B6" w14:textId="77777777" w:rsidR="00DC0ACF" w:rsidRPr="0063792C" w:rsidRDefault="00DC0ACF" w:rsidP="00DC0ACF">
      <w:pPr>
        <w:spacing w:beforeLines="120" w:before="288" w:afterLines="120" w:after="288"/>
        <w:contextualSpacing/>
        <w:rPr>
          <w:b/>
          <w:i/>
        </w:rPr>
      </w:pPr>
      <w:r w:rsidRPr="0063792C">
        <w:rPr>
          <w:b/>
          <w:i/>
        </w:rPr>
        <w:t xml:space="preserve">Physical </w:t>
      </w:r>
      <w:r>
        <w:rPr>
          <w:b/>
          <w:i/>
        </w:rPr>
        <w:t>A</w:t>
      </w:r>
      <w:r w:rsidRPr="0063792C">
        <w:rPr>
          <w:b/>
          <w:i/>
        </w:rPr>
        <w:t>ddress of</w:t>
      </w:r>
      <w:r>
        <w:rPr>
          <w:b/>
          <w:i/>
        </w:rPr>
        <w:t xml:space="preserve"> I</w:t>
      </w:r>
      <w:r w:rsidRPr="0063792C">
        <w:rPr>
          <w:b/>
          <w:i/>
        </w:rPr>
        <w:t>ssuer</w:t>
      </w:r>
      <w:r>
        <w:rPr>
          <w:b/>
          <w:i/>
        </w:rPr>
        <w:t>:</w:t>
      </w:r>
    </w:p>
    <w:p w14:paraId="7058AC32" w14:textId="77777777" w:rsidR="00DC0ACF" w:rsidRPr="0063792C" w:rsidRDefault="00DC0ACF" w:rsidP="00DC0ACF">
      <w:pPr>
        <w:spacing w:beforeLines="120" w:before="288" w:afterLines="120" w:after="288"/>
        <w:contextualSpacing/>
      </w:pPr>
    </w:p>
    <w:p w14:paraId="14D2F294" w14:textId="1D2DB27F" w:rsidR="00DC0ACF" w:rsidRPr="0063792C" w:rsidRDefault="00E96418" w:rsidP="00DC0ACF">
      <w:pPr>
        <w:spacing w:beforeLines="120" w:before="288" w:afterLines="120" w:after="288"/>
        <w:contextualSpacing/>
      </w:pPr>
      <w:r w:rsidRPr="00E96418">
        <w:t>440 N. Barranca Avenue, #3696, Covina, CA 91723</w:t>
      </w:r>
    </w:p>
    <w:p w14:paraId="7BB0C757" w14:textId="77777777" w:rsidR="00DC0ACF" w:rsidRPr="0063792C" w:rsidRDefault="00DC0ACF" w:rsidP="00DC0ACF">
      <w:pPr>
        <w:spacing w:beforeLines="120" w:before="288" w:afterLines="120" w:after="288"/>
        <w:contextualSpacing/>
      </w:pPr>
    </w:p>
    <w:p w14:paraId="47DC61EC" w14:textId="77777777" w:rsidR="00DC0ACF" w:rsidRPr="0063792C" w:rsidRDefault="00DC0ACF" w:rsidP="00DC0ACF">
      <w:pPr>
        <w:spacing w:beforeLines="120" w:before="288" w:afterLines="120" w:after="288"/>
        <w:contextualSpacing/>
        <w:rPr>
          <w:b/>
          <w:i/>
        </w:rPr>
      </w:pPr>
      <w:r w:rsidRPr="0063792C">
        <w:rPr>
          <w:b/>
          <w:i/>
        </w:rPr>
        <w:t xml:space="preserve">Website of </w:t>
      </w:r>
      <w:r>
        <w:rPr>
          <w:b/>
          <w:i/>
        </w:rPr>
        <w:t>I</w:t>
      </w:r>
      <w:r w:rsidRPr="0063792C">
        <w:rPr>
          <w:b/>
          <w:i/>
        </w:rPr>
        <w:t>ssuer</w:t>
      </w:r>
      <w:r>
        <w:rPr>
          <w:b/>
          <w:i/>
        </w:rPr>
        <w:t>:</w:t>
      </w:r>
    </w:p>
    <w:p w14:paraId="6CA56463" w14:textId="77777777" w:rsidR="00DC0ACF" w:rsidRPr="0063792C" w:rsidRDefault="00DC0ACF" w:rsidP="00DC0ACF">
      <w:pPr>
        <w:spacing w:beforeLines="120" w:before="288" w:afterLines="120" w:after="288"/>
        <w:contextualSpacing/>
      </w:pPr>
    </w:p>
    <w:p w14:paraId="20091903" w14:textId="602C7BE3" w:rsidR="00DC0ACF" w:rsidRPr="0063792C" w:rsidRDefault="00000000" w:rsidP="00DC0ACF">
      <w:pPr>
        <w:spacing w:beforeLines="120" w:before="288" w:afterLines="120" w:after="288"/>
        <w:contextualSpacing/>
      </w:pPr>
      <w:hyperlink r:id="rId8">
        <w:r w:rsidR="00E96418">
          <w:rPr>
            <w:color w:val="1155CC"/>
            <w:u w:val="single"/>
          </w:rPr>
          <w:t>https://startglobal.co/</w:t>
        </w:r>
      </w:hyperlink>
    </w:p>
    <w:p w14:paraId="18114310" w14:textId="77777777" w:rsidR="00DC0ACF" w:rsidRPr="0063792C" w:rsidRDefault="00DC0ACF" w:rsidP="00DC0ACF">
      <w:pPr>
        <w:spacing w:beforeLines="120" w:before="288" w:afterLines="120" w:after="288"/>
        <w:contextualSpacing/>
      </w:pPr>
    </w:p>
    <w:p w14:paraId="69466E6A" w14:textId="71251434" w:rsidR="00DC0ACF" w:rsidRDefault="00DC0ACF" w:rsidP="00DC0ACF">
      <w:pPr>
        <w:spacing w:beforeLines="120" w:before="288" w:afterLines="120" w:after="288"/>
        <w:contextualSpacing/>
        <w:rPr>
          <w:b/>
          <w:i/>
        </w:rPr>
      </w:pPr>
      <w:r w:rsidRPr="0058653C">
        <w:rPr>
          <w:b/>
          <w:i/>
        </w:rPr>
        <w:t xml:space="preserve">Is there a </w:t>
      </w:r>
      <w:r w:rsidR="00A94201">
        <w:rPr>
          <w:b/>
          <w:i/>
        </w:rPr>
        <w:t>C</w:t>
      </w:r>
      <w:r w:rsidRPr="0058653C">
        <w:rPr>
          <w:b/>
          <w:i/>
        </w:rPr>
        <w:t>o-</w:t>
      </w:r>
      <w:r w:rsidR="00A94201">
        <w:rPr>
          <w:b/>
          <w:i/>
        </w:rPr>
        <w:t>I</w:t>
      </w:r>
      <w:r w:rsidRPr="0058653C">
        <w:rPr>
          <w:b/>
          <w:i/>
        </w:rPr>
        <w:t xml:space="preserve">ssuer? ___ </w:t>
      </w:r>
      <w:r w:rsidR="00A94201">
        <w:rPr>
          <w:b/>
          <w:i/>
        </w:rPr>
        <w:t>Y</w:t>
      </w:r>
      <w:r w:rsidRPr="0058653C">
        <w:rPr>
          <w:b/>
          <w:i/>
        </w:rPr>
        <w:t>es</w:t>
      </w:r>
      <w:r>
        <w:rPr>
          <w:b/>
          <w:i/>
        </w:rPr>
        <w:t xml:space="preserve"> </w:t>
      </w:r>
      <w:r w:rsidRPr="00540D33">
        <w:rPr>
          <w:b/>
          <w:i/>
          <w:u w:val="single"/>
        </w:rPr>
        <w:t>_</w:t>
      </w:r>
      <w:r w:rsidRPr="00540D33">
        <w:rPr>
          <w:bCs/>
          <w:iCs/>
          <w:u w:val="single"/>
        </w:rPr>
        <w:t>X</w:t>
      </w:r>
      <w:r w:rsidRPr="0058653C">
        <w:rPr>
          <w:b/>
          <w:i/>
        </w:rPr>
        <w:t xml:space="preserve">_ </w:t>
      </w:r>
      <w:r w:rsidR="00A94201">
        <w:rPr>
          <w:b/>
          <w:i/>
        </w:rPr>
        <w:t>N</w:t>
      </w:r>
      <w:r w:rsidRPr="0058653C">
        <w:rPr>
          <w:b/>
          <w:i/>
        </w:rPr>
        <w:t>o</w:t>
      </w:r>
    </w:p>
    <w:p w14:paraId="4E06BBCA" w14:textId="77777777" w:rsidR="00DC0ACF" w:rsidRDefault="00DC0ACF" w:rsidP="00DC0ACF">
      <w:pPr>
        <w:spacing w:beforeLines="120" w:before="288" w:afterLines="120" w:after="288"/>
        <w:contextualSpacing/>
        <w:rPr>
          <w:b/>
          <w:i/>
        </w:rPr>
      </w:pPr>
    </w:p>
    <w:p w14:paraId="735F01B5" w14:textId="77777777" w:rsidR="00DC0ACF" w:rsidRPr="0063792C" w:rsidRDefault="00DC0ACF" w:rsidP="00DC0ACF">
      <w:pPr>
        <w:spacing w:beforeLines="120" w:before="288" w:afterLines="120" w:after="288"/>
        <w:contextualSpacing/>
        <w:rPr>
          <w:b/>
          <w:i/>
        </w:rPr>
      </w:pPr>
      <w:r w:rsidRPr="0063792C">
        <w:rPr>
          <w:b/>
          <w:i/>
        </w:rPr>
        <w:t xml:space="preserve">Name of </w:t>
      </w:r>
      <w:r>
        <w:rPr>
          <w:b/>
          <w:i/>
        </w:rPr>
        <w:t>I</w:t>
      </w:r>
      <w:r w:rsidRPr="0063792C">
        <w:rPr>
          <w:b/>
          <w:i/>
        </w:rPr>
        <w:t xml:space="preserve">ntermediary through which the </w:t>
      </w:r>
      <w:r>
        <w:rPr>
          <w:b/>
          <w:i/>
        </w:rPr>
        <w:t>O</w:t>
      </w:r>
      <w:r w:rsidRPr="0063792C">
        <w:rPr>
          <w:b/>
          <w:i/>
        </w:rPr>
        <w:t xml:space="preserve">ffering will be </w:t>
      </w:r>
      <w:r>
        <w:rPr>
          <w:b/>
          <w:i/>
        </w:rPr>
        <w:t>C</w:t>
      </w:r>
      <w:r w:rsidRPr="0063792C">
        <w:rPr>
          <w:b/>
          <w:i/>
        </w:rPr>
        <w:t>onducted</w:t>
      </w:r>
      <w:r>
        <w:rPr>
          <w:b/>
          <w:i/>
        </w:rPr>
        <w:t>:</w:t>
      </w:r>
    </w:p>
    <w:p w14:paraId="1ED167FB" w14:textId="77777777" w:rsidR="00DC0ACF" w:rsidRPr="0063792C" w:rsidRDefault="00DC0ACF" w:rsidP="00DC0ACF">
      <w:pPr>
        <w:spacing w:beforeLines="120" w:before="288" w:afterLines="120" w:after="288"/>
        <w:contextualSpacing/>
      </w:pPr>
    </w:p>
    <w:p w14:paraId="628EB8F6" w14:textId="77777777" w:rsidR="00DC0ACF" w:rsidRPr="0063792C" w:rsidRDefault="00DC0ACF" w:rsidP="00DC0ACF">
      <w:pPr>
        <w:spacing w:beforeLines="120" w:before="288" w:afterLines="120" w:after="288"/>
        <w:contextualSpacing/>
      </w:pPr>
      <w:r w:rsidRPr="0063792C">
        <w:t>OpenDeal Portal LLC dba Republic</w:t>
      </w:r>
    </w:p>
    <w:p w14:paraId="185A98BA" w14:textId="77777777" w:rsidR="00DC0ACF" w:rsidRPr="0063792C" w:rsidRDefault="00DC0ACF" w:rsidP="00DC0ACF">
      <w:pPr>
        <w:spacing w:beforeLines="120" w:before="288" w:afterLines="120" w:after="288"/>
        <w:contextualSpacing/>
      </w:pPr>
    </w:p>
    <w:p w14:paraId="66A1C580" w14:textId="77777777" w:rsidR="00DC0ACF" w:rsidRPr="0063792C" w:rsidRDefault="00DC0ACF" w:rsidP="00DC0ACF">
      <w:pPr>
        <w:spacing w:beforeLines="120" w:before="288" w:afterLines="120" w:after="288"/>
        <w:contextualSpacing/>
        <w:rPr>
          <w:b/>
          <w:i/>
        </w:rPr>
      </w:pPr>
      <w:r w:rsidRPr="0063792C">
        <w:rPr>
          <w:b/>
          <w:i/>
        </w:rPr>
        <w:t xml:space="preserve">CIK </w:t>
      </w:r>
      <w:r>
        <w:rPr>
          <w:b/>
          <w:i/>
        </w:rPr>
        <w:t>N</w:t>
      </w:r>
      <w:r w:rsidRPr="0063792C">
        <w:rPr>
          <w:b/>
          <w:i/>
        </w:rPr>
        <w:t xml:space="preserve">umber of </w:t>
      </w:r>
      <w:r>
        <w:rPr>
          <w:b/>
          <w:i/>
        </w:rPr>
        <w:t>I</w:t>
      </w:r>
      <w:r w:rsidRPr="0063792C">
        <w:rPr>
          <w:b/>
          <w:i/>
        </w:rPr>
        <w:t>ntermediary</w:t>
      </w:r>
      <w:r>
        <w:rPr>
          <w:b/>
          <w:i/>
        </w:rPr>
        <w:t>:</w:t>
      </w:r>
    </w:p>
    <w:p w14:paraId="6722A699" w14:textId="77777777" w:rsidR="00DC0ACF" w:rsidRPr="0063792C" w:rsidRDefault="00DC0ACF" w:rsidP="00DC0ACF">
      <w:pPr>
        <w:spacing w:beforeLines="120" w:before="288" w:afterLines="120" w:after="288"/>
        <w:contextualSpacing/>
      </w:pPr>
    </w:p>
    <w:p w14:paraId="375E3963" w14:textId="77777777" w:rsidR="00DC0ACF" w:rsidRPr="0063792C" w:rsidRDefault="00DC0ACF" w:rsidP="00DC0ACF">
      <w:pPr>
        <w:spacing w:beforeLines="120" w:before="288" w:afterLines="120" w:after="288"/>
        <w:contextualSpacing/>
      </w:pPr>
      <w:r w:rsidRPr="0063792C">
        <w:t>0001751525 </w:t>
      </w:r>
    </w:p>
    <w:p w14:paraId="34CC63D5" w14:textId="77777777" w:rsidR="00DC0ACF" w:rsidRPr="0063792C" w:rsidRDefault="00DC0ACF" w:rsidP="00DC0ACF">
      <w:pPr>
        <w:spacing w:beforeLines="120" w:before="288" w:afterLines="120" w:after="288"/>
        <w:contextualSpacing/>
      </w:pPr>
    </w:p>
    <w:p w14:paraId="201EA631" w14:textId="77777777" w:rsidR="00DC0ACF" w:rsidRPr="0063792C" w:rsidRDefault="00DC0ACF" w:rsidP="00DC0ACF">
      <w:pPr>
        <w:spacing w:beforeLines="120" w:before="288" w:afterLines="120" w:after="288"/>
        <w:contextualSpacing/>
        <w:rPr>
          <w:b/>
          <w:i/>
        </w:rPr>
      </w:pPr>
      <w:r w:rsidRPr="0063792C">
        <w:rPr>
          <w:b/>
          <w:i/>
        </w:rPr>
        <w:t xml:space="preserve">SEC </w:t>
      </w:r>
      <w:r>
        <w:rPr>
          <w:b/>
          <w:i/>
        </w:rPr>
        <w:t>F</w:t>
      </w:r>
      <w:r w:rsidRPr="0063792C">
        <w:rPr>
          <w:b/>
          <w:i/>
        </w:rPr>
        <w:t xml:space="preserve">ile </w:t>
      </w:r>
      <w:r>
        <w:rPr>
          <w:b/>
          <w:i/>
        </w:rPr>
        <w:t>N</w:t>
      </w:r>
      <w:r w:rsidRPr="0063792C">
        <w:rPr>
          <w:b/>
          <w:i/>
        </w:rPr>
        <w:t xml:space="preserve">umber of </w:t>
      </w:r>
      <w:r>
        <w:rPr>
          <w:b/>
          <w:i/>
        </w:rPr>
        <w:t>I</w:t>
      </w:r>
      <w:r w:rsidRPr="0063792C">
        <w:rPr>
          <w:b/>
          <w:i/>
        </w:rPr>
        <w:t>ntermediary</w:t>
      </w:r>
      <w:r>
        <w:rPr>
          <w:b/>
          <w:i/>
        </w:rPr>
        <w:t>:</w:t>
      </w:r>
    </w:p>
    <w:p w14:paraId="52DA6809" w14:textId="77777777" w:rsidR="00DC0ACF" w:rsidRPr="0063792C" w:rsidRDefault="00DC0ACF" w:rsidP="00DC0ACF">
      <w:pPr>
        <w:spacing w:beforeLines="120" w:before="288" w:afterLines="120" w:after="288"/>
        <w:contextualSpacing/>
      </w:pPr>
    </w:p>
    <w:p w14:paraId="1FD610FD" w14:textId="77777777" w:rsidR="00DC0ACF" w:rsidRPr="0063792C" w:rsidRDefault="00DC0ACF" w:rsidP="00DC0ACF">
      <w:pPr>
        <w:spacing w:beforeLines="120" w:before="288" w:afterLines="120" w:after="288"/>
        <w:contextualSpacing/>
      </w:pPr>
      <w:r w:rsidRPr="0063792C">
        <w:t>007-00167</w:t>
      </w:r>
    </w:p>
    <w:p w14:paraId="72568D14" w14:textId="77777777" w:rsidR="00DC0ACF" w:rsidRPr="0063792C" w:rsidRDefault="00DC0ACF" w:rsidP="00DC0ACF">
      <w:pPr>
        <w:spacing w:beforeLines="120" w:before="288" w:afterLines="120" w:after="288"/>
        <w:contextualSpacing/>
      </w:pPr>
    </w:p>
    <w:p w14:paraId="7D6F29EE" w14:textId="77777777" w:rsidR="00DC0ACF" w:rsidRPr="0063792C" w:rsidRDefault="00DC0ACF" w:rsidP="00D0194F">
      <w:pPr>
        <w:keepNext/>
        <w:spacing w:beforeLines="120" w:before="288" w:afterLines="120" w:after="288"/>
        <w:contextualSpacing/>
      </w:pPr>
      <w:r w:rsidRPr="0063792C">
        <w:rPr>
          <w:b/>
          <w:i/>
        </w:rPr>
        <w:lastRenderedPageBreak/>
        <w:t xml:space="preserve">CRD </w:t>
      </w:r>
      <w:r>
        <w:rPr>
          <w:b/>
          <w:i/>
        </w:rPr>
        <w:t>N</w:t>
      </w:r>
      <w:r w:rsidRPr="0063792C">
        <w:rPr>
          <w:b/>
          <w:i/>
        </w:rPr>
        <w:t>umber</w:t>
      </w:r>
      <w:r>
        <w:rPr>
          <w:b/>
          <w:i/>
        </w:rPr>
        <w:t xml:space="preserve"> </w:t>
      </w:r>
      <w:r w:rsidRPr="0063792C">
        <w:rPr>
          <w:b/>
          <w:i/>
        </w:rPr>
        <w:t xml:space="preserve">of </w:t>
      </w:r>
      <w:r>
        <w:rPr>
          <w:b/>
          <w:i/>
        </w:rPr>
        <w:t>I</w:t>
      </w:r>
      <w:r w:rsidRPr="0063792C">
        <w:rPr>
          <w:b/>
          <w:i/>
        </w:rPr>
        <w:t>ntermediary</w:t>
      </w:r>
      <w:r>
        <w:rPr>
          <w:b/>
          <w:i/>
        </w:rPr>
        <w:t>:</w:t>
      </w:r>
    </w:p>
    <w:p w14:paraId="2CA87E6E" w14:textId="77777777" w:rsidR="00DC0ACF" w:rsidRDefault="00DC0ACF" w:rsidP="00D0194F">
      <w:pPr>
        <w:keepNext/>
        <w:spacing w:beforeLines="120" w:before="288" w:afterLines="120" w:after="288"/>
        <w:contextualSpacing/>
      </w:pPr>
    </w:p>
    <w:p w14:paraId="57071C40" w14:textId="77777777" w:rsidR="00DC0ACF" w:rsidRPr="0063792C" w:rsidRDefault="00DC0ACF" w:rsidP="00D0194F">
      <w:pPr>
        <w:keepNext/>
        <w:spacing w:beforeLines="120" w:before="288" w:afterLines="120" w:after="288"/>
        <w:contextualSpacing/>
      </w:pPr>
      <w:r w:rsidRPr="0063792C">
        <w:t>283874</w:t>
      </w:r>
    </w:p>
    <w:p w14:paraId="4C16CF3A" w14:textId="77777777" w:rsidR="00DC0ACF" w:rsidRPr="0063792C" w:rsidRDefault="00DC0ACF" w:rsidP="00DC0ACF">
      <w:pPr>
        <w:spacing w:beforeLines="120" w:before="288" w:afterLines="120" w:after="288"/>
        <w:contextualSpacing/>
      </w:pPr>
    </w:p>
    <w:p w14:paraId="2218D032" w14:textId="01AA1997" w:rsidR="00DC0ACF" w:rsidRPr="0063792C" w:rsidRDefault="00DC0ACF" w:rsidP="00DC0ACF">
      <w:pPr>
        <w:spacing w:beforeLines="120" w:before="288" w:afterLines="120" w:after="288"/>
        <w:contextualSpacing/>
        <w:rPr>
          <w:b/>
          <w:i/>
        </w:rPr>
      </w:pPr>
      <w:r w:rsidRPr="0063792C">
        <w:rPr>
          <w:b/>
          <w:i/>
        </w:rPr>
        <w:t xml:space="preserve">Amount of compensation to be paid to the </w:t>
      </w:r>
      <w:r w:rsidR="00CC01C3">
        <w:rPr>
          <w:b/>
          <w:i/>
        </w:rPr>
        <w:t>I</w:t>
      </w:r>
      <w:r w:rsidRPr="0063792C">
        <w:rPr>
          <w:b/>
          <w:i/>
        </w:rPr>
        <w:t>ntermediary, whether as a percentage of the offering amount</w:t>
      </w:r>
      <w:r w:rsidR="00CC01C3">
        <w:rPr>
          <w:b/>
          <w:i/>
        </w:rPr>
        <w:t xml:space="preserve"> or as a dollar amount</w:t>
      </w:r>
      <w:r w:rsidRPr="0063792C">
        <w:rPr>
          <w:b/>
          <w:i/>
        </w:rPr>
        <w:t xml:space="preserve">, or a good faith estimate if the exact amount is not available at the time of the filing, for conducting the </w:t>
      </w:r>
      <w:r w:rsidR="00CC01C3">
        <w:rPr>
          <w:b/>
          <w:i/>
        </w:rPr>
        <w:t>O</w:t>
      </w:r>
      <w:r w:rsidRPr="0063792C">
        <w:rPr>
          <w:b/>
          <w:i/>
        </w:rPr>
        <w:t xml:space="preserve">ffering, including the amount of referral and any other fees associated with the </w:t>
      </w:r>
      <w:r w:rsidR="00CC01C3">
        <w:rPr>
          <w:b/>
          <w:i/>
        </w:rPr>
        <w:t>O</w:t>
      </w:r>
      <w:r w:rsidRPr="0063792C">
        <w:rPr>
          <w:b/>
          <w:i/>
        </w:rPr>
        <w:t>ffering</w:t>
      </w:r>
      <w:r>
        <w:rPr>
          <w:b/>
          <w:i/>
        </w:rPr>
        <w:t>:</w:t>
      </w:r>
    </w:p>
    <w:p w14:paraId="2CF7C5C3" w14:textId="77777777" w:rsidR="00DC0ACF" w:rsidRPr="0063792C" w:rsidRDefault="00DC0ACF" w:rsidP="00DC0ACF">
      <w:pPr>
        <w:spacing w:beforeLines="120" w:before="288" w:afterLines="120" w:after="288"/>
        <w:contextualSpacing/>
      </w:pPr>
    </w:p>
    <w:p w14:paraId="386A9B23" w14:textId="6FC15FC3" w:rsidR="00DC0ACF" w:rsidRPr="0063792C" w:rsidRDefault="00DC0ACF" w:rsidP="00DC0ACF">
      <w:pPr>
        <w:spacing w:beforeLines="120" w:before="288" w:afterLines="120" w:after="288"/>
        <w:contextualSpacing/>
      </w:pPr>
      <w:r w:rsidRPr="0063792C">
        <w:t xml:space="preserve">At the conclusion of the </w:t>
      </w:r>
      <w:r w:rsidR="00CC01C3">
        <w:t>O</w:t>
      </w:r>
      <w:r w:rsidRPr="0063792C">
        <w:t xml:space="preserve">ffering, the </w:t>
      </w:r>
      <w:r w:rsidR="00CC01C3">
        <w:t>I</w:t>
      </w:r>
      <w:r w:rsidRPr="0063792C">
        <w:t>ssuer shall pay</w:t>
      </w:r>
      <w:r w:rsidR="00CC01C3">
        <w:t xml:space="preserve"> the Intermediary</w:t>
      </w:r>
      <w:r w:rsidRPr="0063792C">
        <w:t xml:space="preserve"> </w:t>
      </w:r>
      <w:r w:rsidR="00CC01C3" w:rsidRPr="0029799F">
        <w:t xml:space="preserve">the greater of (A) </w:t>
      </w:r>
      <w:r w:rsidRPr="0029799F">
        <w:t xml:space="preserve">a fee of six percent (6%) of the </w:t>
      </w:r>
      <w:r w:rsidR="00CC01C3" w:rsidRPr="0029799F">
        <w:t xml:space="preserve">dollar </w:t>
      </w:r>
      <w:r w:rsidRPr="0029799F">
        <w:t xml:space="preserve">amount raised in the </w:t>
      </w:r>
      <w:r w:rsidR="00CC01C3" w:rsidRPr="0029799F">
        <w:t>O</w:t>
      </w:r>
      <w:r w:rsidRPr="0029799F">
        <w:t xml:space="preserve">ffering </w:t>
      </w:r>
      <w:r w:rsidR="0029799F" w:rsidRPr="0029799F">
        <w:t>o</w:t>
      </w:r>
      <w:r w:rsidR="00CC01C3" w:rsidRPr="0029799F">
        <w:t>r (B) a cash fee of twelve thousand dollars ($12,000.00)</w:t>
      </w:r>
      <w:r w:rsidRPr="0029799F">
        <w:t>.</w:t>
      </w:r>
    </w:p>
    <w:p w14:paraId="6CCE6AA0" w14:textId="77777777" w:rsidR="00DC0ACF" w:rsidRPr="0063792C" w:rsidRDefault="00DC0ACF" w:rsidP="00DC0ACF">
      <w:pPr>
        <w:spacing w:beforeLines="120" w:before="288" w:afterLines="120" w:after="288"/>
        <w:contextualSpacing/>
      </w:pPr>
    </w:p>
    <w:p w14:paraId="45DD5EF5" w14:textId="19433174" w:rsidR="00DC0ACF" w:rsidRPr="0063792C" w:rsidRDefault="00DC0ACF" w:rsidP="00DC0ACF">
      <w:pPr>
        <w:spacing w:beforeLines="120" w:before="288" w:afterLines="120" w:after="288"/>
        <w:contextualSpacing/>
        <w:rPr>
          <w:b/>
          <w:i/>
        </w:rPr>
      </w:pPr>
      <w:r w:rsidRPr="0063792C">
        <w:rPr>
          <w:b/>
          <w:i/>
        </w:rPr>
        <w:t xml:space="preserve">Any other direct or indirect interest in the </w:t>
      </w:r>
      <w:r w:rsidR="00CC01C3">
        <w:rPr>
          <w:b/>
          <w:i/>
        </w:rPr>
        <w:t>I</w:t>
      </w:r>
      <w:r w:rsidRPr="0063792C">
        <w:rPr>
          <w:b/>
          <w:i/>
        </w:rPr>
        <w:t xml:space="preserve">ssuer held by the </w:t>
      </w:r>
      <w:r w:rsidR="00CC01C3">
        <w:rPr>
          <w:b/>
          <w:i/>
        </w:rPr>
        <w:t>I</w:t>
      </w:r>
      <w:r w:rsidRPr="0063792C">
        <w:rPr>
          <w:b/>
          <w:i/>
        </w:rPr>
        <w:t xml:space="preserve">ntermediary, or any arrangement for the </w:t>
      </w:r>
      <w:r w:rsidR="00CC01C3">
        <w:rPr>
          <w:b/>
          <w:i/>
        </w:rPr>
        <w:t>I</w:t>
      </w:r>
      <w:r w:rsidRPr="0063792C">
        <w:rPr>
          <w:b/>
          <w:i/>
        </w:rPr>
        <w:t>ntermediary to acquire such an interest</w:t>
      </w:r>
      <w:r>
        <w:rPr>
          <w:b/>
          <w:i/>
        </w:rPr>
        <w:t>:</w:t>
      </w:r>
    </w:p>
    <w:p w14:paraId="5890A6F5" w14:textId="77777777" w:rsidR="00DC0ACF" w:rsidRPr="0063792C" w:rsidRDefault="00DC0ACF" w:rsidP="00DC0ACF">
      <w:pPr>
        <w:spacing w:beforeLines="120" w:before="288" w:afterLines="120" w:after="288"/>
        <w:contextualSpacing/>
      </w:pPr>
    </w:p>
    <w:p w14:paraId="4061E98F" w14:textId="6B414307" w:rsidR="00DC0ACF" w:rsidRPr="0063792C" w:rsidRDefault="00DC0ACF" w:rsidP="00DC0ACF">
      <w:pPr>
        <w:spacing w:beforeLines="120" w:before="288" w:afterLines="120" w:after="288"/>
        <w:contextualSpacing/>
      </w:pPr>
      <w:r w:rsidRPr="0063792C">
        <w:t xml:space="preserve">The Intermediary will also receive compensation in the form of securities equal to two percent (2%) of the total number of </w:t>
      </w:r>
      <w:r>
        <w:t xml:space="preserve">the </w:t>
      </w:r>
      <w:r w:rsidRPr="0063792C">
        <w:t xml:space="preserve">securities sold in the </w:t>
      </w:r>
      <w:r w:rsidR="00CC01C3">
        <w:t>O</w:t>
      </w:r>
      <w:r w:rsidRPr="0063792C">
        <w:t>ffering.</w:t>
      </w:r>
    </w:p>
    <w:p w14:paraId="0749E3A7" w14:textId="77777777" w:rsidR="00DC0ACF" w:rsidRPr="0063792C" w:rsidRDefault="00DC0ACF" w:rsidP="00DC0ACF">
      <w:pPr>
        <w:spacing w:beforeLines="120" w:before="288" w:afterLines="120" w:after="288"/>
        <w:contextualSpacing/>
      </w:pPr>
    </w:p>
    <w:p w14:paraId="38AF22D5" w14:textId="77777777" w:rsidR="00DC0ACF" w:rsidRPr="0063792C" w:rsidRDefault="00DC0ACF" w:rsidP="00DC0ACF">
      <w:pPr>
        <w:spacing w:beforeLines="120" w:before="288" w:afterLines="120" w:after="288"/>
        <w:contextualSpacing/>
        <w:rPr>
          <w:b/>
          <w:i/>
        </w:rPr>
      </w:pPr>
      <w:r w:rsidRPr="0063792C">
        <w:rPr>
          <w:b/>
          <w:i/>
        </w:rPr>
        <w:t xml:space="preserve">Type of </w:t>
      </w:r>
      <w:r>
        <w:rPr>
          <w:b/>
          <w:i/>
        </w:rPr>
        <w:t>S</w:t>
      </w:r>
      <w:r w:rsidRPr="0063792C">
        <w:rPr>
          <w:b/>
          <w:i/>
        </w:rPr>
        <w:t xml:space="preserve">ecurity </w:t>
      </w:r>
      <w:r>
        <w:rPr>
          <w:b/>
          <w:i/>
        </w:rPr>
        <w:t>O</w:t>
      </w:r>
      <w:r w:rsidRPr="0063792C">
        <w:rPr>
          <w:b/>
          <w:i/>
        </w:rPr>
        <w:t>ffered</w:t>
      </w:r>
      <w:r>
        <w:rPr>
          <w:b/>
          <w:i/>
        </w:rPr>
        <w:t>:</w:t>
      </w:r>
    </w:p>
    <w:p w14:paraId="31D822D1" w14:textId="77777777" w:rsidR="00DC0ACF" w:rsidRPr="0063792C" w:rsidRDefault="00DC0ACF" w:rsidP="00DC0ACF">
      <w:pPr>
        <w:spacing w:beforeLines="120" w:before="288" w:afterLines="120" w:after="288"/>
        <w:contextualSpacing/>
      </w:pPr>
    </w:p>
    <w:p w14:paraId="4BBC72CF" w14:textId="3C2CF14E" w:rsidR="00DC0ACF" w:rsidRPr="0063792C" w:rsidRDefault="00DC0ACF" w:rsidP="00DC0ACF">
      <w:pPr>
        <w:spacing w:beforeLines="120" w:before="288" w:afterLines="120" w:after="288"/>
        <w:contextualSpacing/>
      </w:pPr>
      <w:r w:rsidRPr="002E76DE">
        <w:t>SAFE (Simple Agreement for Future Equity)</w:t>
      </w:r>
    </w:p>
    <w:p w14:paraId="178D4299" w14:textId="77777777" w:rsidR="00DC0ACF" w:rsidRPr="0063792C" w:rsidRDefault="00DC0ACF" w:rsidP="00DC0ACF">
      <w:pPr>
        <w:spacing w:beforeLines="120" w:before="288" w:afterLines="120" w:after="288"/>
        <w:contextualSpacing/>
      </w:pPr>
    </w:p>
    <w:p w14:paraId="2140A16E" w14:textId="77777777" w:rsidR="00DC0ACF" w:rsidRPr="0063792C" w:rsidRDefault="00DC0ACF" w:rsidP="00DC0ACF">
      <w:pPr>
        <w:spacing w:beforeLines="120" w:before="288" w:afterLines="120" w:after="288"/>
        <w:contextualSpacing/>
        <w:rPr>
          <w:b/>
          <w:i/>
        </w:rPr>
      </w:pPr>
      <w:r w:rsidRPr="0063792C">
        <w:rPr>
          <w:b/>
          <w:i/>
        </w:rPr>
        <w:t xml:space="preserve">Target </w:t>
      </w:r>
      <w:r>
        <w:rPr>
          <w:b/>
          <w:i/>
        </w:rPr>
        <w:t>N</w:t>
      </w:r>
      <w:r w:rsidRPr="0063792C">
        <w:rPr>
          <w:b/>
          <w:i/>
        </w:rPr>
        <w:t xml:space="preserve">umber of </w:t>
      </w:r>
      <w:r>
        <w:rPr>
          <w:b/>
          <w:i/>
        </w:rPr>
        <w:t>S</w:t>
      </w:r>
      <w:r w:rsidRPr="0063792C">
        <w:rPr>
          <w:b/>
          <w:i/>
        </w:rPr>
        <w:t xml:space="preserve">ecurities to be </w:t>
      </w:r>
      <w:r>
        <w:rPr>
          <w:b/>
          <w:i/>
        </w:rPr>
        <w:t>O</w:t>
      </w:r>
      <w:r w:rsidRPr="0063792C">
        <w:rPr>
          <w:b/>
          <w:i/>
        </w:rPr>
        <w:t>ffered</w:t>
      </w:r>
      <w:r>
        <w:rPr>
          <w:b/>
          <w:i/>
        </w:rPr>
        <w:t>:</w:t>
      </w:r>
    </w:p>
    <w:p w14:paraId="477DB521" w14:textId="77777777" w:rsidR="00DC0ACF" w:rsidRPr="0063792C" w:rsidRDefault="00DC0ACF" w:rsidP="00DC0ACF">
      <w:pPr>
        <w:spacing w:beforeLines="120" w:before="288" w:afterLines="120" w:after="288"/>
        <w:contextualSpacing/>
      </w:pPr>
    </w:p>
    <w:p w14:paraId="3C9A875C" w14:textId="627EF912" w:rsidR="00DC0ACF" w:rsidRPr="0063792C" w:rsidRDefault="00DC0ACF" w:rsidP="00DC0ACF">
      <w:pPr>
        <w:spacing w:beforeLines="120" w:before="288" w:afterLines="120" w:after="288"/>
        <w:contextualSpacing/>
      </w:pPr>
      <w:r w:rsidRPr="002E76DE">
        <w:t>5</w:t>
      </w:r>
      <w:r w:rsidR="00CC01C3">
        <w:t>0</w:t>
      </w:r>
      <w:r w:rsidRPr="002E76DE">
        <w:t>,000</w:t>
      </w:r>
    </w:p>
    <w:p w14:paraId="0F479C22" w14:textId="77777777" w:rsidR="00DC0ACF" w:rsidRPr="0063792C" w:rsidRDefault="00DC0ACF" w:rsidP="00DC0ACF">
      <w:pPr>
        <w:spacing w:beforeLines="120" w:before="288" w:afterLines="120" w:after="288"/>
        <w:contextualSpacing/>
      </w:pPr>
    </w:p>
    <w:p w14:paraId="493D714F" w14:textId="77777777" w:rsidR="00DC0ACF" w:rsidRPr="0063792C" w:rsidRDefault="00DC0ACF" w:rsidP="00DC0ACF">
      <w:pPr>
        <w:spacing w:beforeLines="120" w:before="288" w:afterLines="120" w:after="288"/>
        <w:contextualSpacing/>
        <w:rPr>
          <w:b/>
          <w:i/>
        </w:rPr>
      </w:pPr>
      <w:r w:rsidRPr="0063792C">
        <w:rPr>
          <w:b/>
          <w:i/>
        </w:rPr>
        <w:t xml:space="preserve">Price (or </w:t>
      </w:r>
      <w:r>
        <w:rPr>
          <w:b/>
          <w:i/>
        </w:rPr>
        <w:t>M</w:t>
      </w:r>
      <w:r w:rsidRPr="0063792C">
        <w:rPr>
          <w:b/>
          <w:i/>
        </w:rPr>
        <w:t xml:space="preserve">ethod for </w:t>
      </w:r>
      <w:r>
        <w:rPr>
          <w:b/>
          <w:i/>
        </w:rPr>
        <w:t>D</w:t>
      </w:r>
      <w:r w:rsidRPr="0063792C">
        <w:rPr>
          <w:b/>
          <w:i/>
        </w:rPr>
        <w:t xml:space="preserve">etermining </w:t>
      </w:r>
      <w:r>
        <w:rPr>
          <w:b/>
          <w:i/>
        </w:rPr>
        <w:t>P</w:t>
      </w:r>
      <w:r w:rsidRPr="0063792C">
        <w:rPr>
          <w:b/>
          <w:i/>
        </w:rPr>
        <w:t>rice)</w:t>
      </w:r>
      <w:r>
        <w:rPr>
          <w:b/>
          <w:i/>
        </w:rPr>
        <w:t>:</w:t>
      </w:r>
    </w:p>
    <w:p w14:paraId="5530BCF0" w14:textId="77777777" w:rsidR="00DC0ACF" w:rsidRPr="0063792C" w:rsidRDefault="00DC0ACF" w:rsidP="00DC0ACF">
      <w:pPr>
        <w:spacing w:beforeLines="120" w:before="288" w:afterLines="120" w:after="288"/>
        <w:contextualSpacing/>
        <w:rPr>
          <w:b/>
          <w:i/>
        </w:rPr>
      </w:pPr>
    </w:p>
    <w:p w14:paraId="49CD29D7" w14:textId="286E2F61" w:rsidR="00DC0ACF" w:rsidRPr="002E76DE" w:rsidRDefault="00DC0ACF" w:rsidP="00DC0ACF">
      <w:pPr>
        <w:spacing w:beforeLines="120" w:before="288" w:afterLines="120" w:after="288"/>
        <w:contextualSpacing/>
      </w:pPr>
      <w:r w:rsidRPr="002E76DE">
        <w:t>$1.00</w:t>
      </w:r>
    </w:p>
    <w:p w14:paraId="5ECAF119" w14:textId="77777777" w:rsidR="00DC0ACF" w:rsidRPr="002E76DE" w:rsidRDefault="00DC0ACF" w:rsidP="00DC0ACF">
      <w:pPr>
        <w:spacing w:beforeLines="120" w:before="288" w:afterLines="120" w:after="288"/>
        <w:contextualSpacing/>
      </w:pPr>
    </w:p>
    <w:p w14:paraId="2A903DAD" w14:textId="77777777" w:rsidR="00DC0ACF" w:rsidRPr="002E76DE" w:rsidRDefault="00DC0ACF" w:rsidP="00DC0ACF">
      <w:pPr>
        <w:spacing w:beforeLines="120" w:before="288" w:afterLines="120" w:after="288"/>
        <w:contextualSpacing/>
        <w:rPr>
          <w:b/>
          <w:i/>
        </w:rPr>
      </w:pPr>
      <w:r w:rsidRPr="002E76DE">
        <w:rPr>
          <w:b/>
          <w:i/>
        </w:rPr>
        <w:t>Target Offering Amount:</w:t>
      </w:r>
    </w:p>
    <w:p w14:paraId="7A9AD768" w14:textId="77777777" w:rsidR="00DC0ACF" w:rsidRPr="002E76DE" w:rsidRDefault="00DC0ACF" w:rsidP="00DC0ACF">
      <w:pPr>
        <w:spacing w:beforeLines="120" w:before="288" w:afterLines="120" w:after="288"/>
        <w:contextualSpacing/>
      </w:pPr>
    </w:p>
    <w:p w14:paraId="2146AE83" w14:textId="02F6834B" w:rsidR="00DC0ACF" w:rsidRPr="0063792C" w:rsidRDefault="00DC0ACF" w:rsidP="00DC0ACF">
      <w:pPr>
        <w:spacing w:beforeLines="120" w:before="288" w:afterLines="120" w:after="288"/>
        <w:contextualSpacing/>
      </w:pPr>
      <w:r w:rsidRPr="002E76DE">
        <w:t>$</w:t>
      </w:r>
      <w:r w:rsidR="00CC01C3">
        <w:t>50</w:t>
      </w:r>
      <w:r w:rsidRPr="002E76DE">
        <w:t>,000</w:t>
      </w:r>
    </w:p>
    <w:p w14:paraId="2FA1A9A3" w14:textId="77777777" w:rsidR="00DC0ACF" w:rsidRPr="0063792C" w:rsidRDefault="00DC0ACF" w:rsidP="00DC0ACF">
      <w:pPr>
        <w:spacing w:beforeLines="120" w:before="288" w:afterLines="120" w:after="288"/>
        <w:contextualSpacing/>
      </w:pPr>
    </w:p>
    <w:p w14:paraId="67F5A815" w14:textId="77777777" w:rsidR="00DC0ACF" w:rsidRPr="0063792C" w:rsidRDefault="00DC0ACF" w:rsidP="00DC0ACF">
      <w:pPr>
        <w:spacing w:beforeLines="120" w:before="288" w:afterLines="120" w:after="288"/>
        <w:contextualSpacing/>
      </w:pPr>
      <w:r w:rsidRPr="0063792C">
        <w:rPr>
          <w:b/>
          <w:i/>
        </w:rPr>
        <w:t xml:space="preserve">Oversubscriptions </w:t>
      </w:r>
      <w:r>
        <w:rPr>
          <w:b/>
          <w:i/>
        </w:rPr>
        <w:t>A</w:t>
      </w:r>
      <w:r w:rsidRPr="0063792C">
        <w:rPr>
          <w:b/>
          <w:i/>
        </w:rPr>
        <w:t>ccepted:</w:t>
      </w:r>
    </w:p>
    <w:p w14:paraId="563E0D9C" w14:textId="77777777" w:rsidR="00DC0ACF" w:rsidRPr="0063792C" w:rsidRDefault="00DC0ACF" w:rsidP="00DC0ACF">
      <w:pPr>
        <w:numPr>
          <w:ilvl w:val="0"/>
          <w:numId w:val="10"/>
        </w:numPr>
        <w:spacing w:beforeLines="120" w:before="288" w:afterLines="120" w:after="288"/>
        <w:contextualSpacing/>
      </w:pPr>
      <w:r w:rsidRPr="0063792C">
        <w:t>Yes</w:t>
      </w:r>
    </w:p>
    <w:p w14:paraId="259D0DAA" w14:textId="77777777" w:rsidR="00DC0ACF" w:rsidRPr="0063792C" w:rsidRDefault="00DC0ACF" w:rsidP="00DC0ACF">
      <w:pPr>
        <w:numPr>
          <w:ilvl w:val="0"/>
          <w:numId w:val="1"/>
        </w:numPr>
        <w:spacing w:beforeLines="120" w:before="288" w:afterLines="120" w:after="288"/>
        <w:contextualSpacing/>
      </w:pPr>
      <w:r w:rsidRPr="0063792C">
        <w:t>No</w:t>
      </w:r>
    </w:p>
    <w:p w14:paraId="1521ED21" w14:textId="77777777" w:rsidR="00DC0ACF" w:rsidRPr="0063792C" w:rsidRDefault="00DC0ACF" w:rsidP="00DC0ACF">
      <w:pPr>
        <w:spacing w:beforeLines="120" w:before="288" w:afterLines="120" w:after="288"/>
        <w:contextualSpacing/>
      </w:pPr>
    </w:p>
    <w:p w14:paraId="5192D192" w14:textId="77777777" w:rsidR="00DC0ACF" w:rsidRPr="0063792C" w:rsidRDefault="00DC0ACF" w:rsidP="00DC0ACF">
      <w:pPr>
        <w:spacing w:beforeLines="120" w:before="288" w:afterLines="120" w:after="288"/>
        <w:contextualSpacing/>
      </w:pPr>
      <w:r w:rsidRPr="0063792C">
        <w:rPr>
          <w:b/>
          <w:i/>
        </w:rPr>
        <w:t xml:space="preserve">Oversubscriptions will be </w:t>
      </w:r>
      <w:r>
        <w:rPr>
          <w:b/>
          <w:i/>
        </w:rPr>
        <w:t>A</w:t>
      </w:r>
      <w:r w:rsidRPr="0063792C">
        <w:rPr>
          <w:b/>
          <w:i/>
        </w:rPr>
        <w:t>llocated:</w:t>
      </w:r>
    </w:p>
    <w:p w14:paraId="0365A75E" w14:textId="77777777" w:rsidR="007E4DDE" w:rsidRPr="0063792C" w:rsidRDefault="007E4DDE" w:rsidP="007E4DDE">
      <w:pPr>
        <w:numPr>
          <w:ilvl w:val="0"/>
          <w:numId w:val="1"/>
        </w:numPr>
        <w:spacing w:beforeLines="120" w:before="288" w:afterLines="120" w:after="288"/>
        <w:contextualSpacing/>
      </w:pPr>
      <w:r w:rsidRPr="0063792C">
        <w:t>Pro-rata basis</w:t>
      </w:r>
    </w:p>
    <w:p w14:paraId="6DD268A2" w14:textId="77777777" w:rsidR="007E4DDE" w:rsidRPr="00CC3A4E" w:rsidRDefault="007E4DDE" w:rsidP="007E4DDE">
      <w:pPr>
        <w:numPr>
          <w:ilvl w:val="0"/>
          <w:numId w:val="10"/>
        </w:numPr>
        <w:spacing w:beforeLines="120" w:before="288" w:afterLines="120" w:after="288"/>
        <w:contextualSpacing/>
      </w:pPr>
      <w:r w:rsidRPr="00222177">
        <w:t>First-come, first-served basis</w:t>
      </w:r>
      <w:r w:rsidRPr="00CC25F4">
        <w:t xml:space="preserve"> </w:t>
      </w:r>
    </w:p>
    <w:p w14:paraId="3C05047D" w14:textId="77777777" w:rsidR="007E4DDE" w:rsidRPr="00222177" w:rsidRDefault="007E4DDE" w:rsidP="007E4DDE">
      <w:pPr>
        <w:numPr>
          <w:ilvl w:val="0"/>
          <w:numId w:val="1"/>
        </w:numPr>
        <w:spacing w:beforeLines="120" w:before="288" w:afterLines="120" w:after="288"/>
        <w:contextualSpacing/>
      </w:pPr>
      <w:r>
        <w:t>Other: At the Intermediary’s discretion</w:t>
      </w:r>
    </w:p>
    <w:p w14:paraId="105A3606" w14:textId="77777777" w:rsidR="00DC0ACF" w:rsidRPr="0063792C" w:rsidRDefault="00DC0ACF" w:rsidP="00DC0ACF">
      <w:pPr>
        <w:spacing w:beforeLines="120" w:before="288" w:afterLines="120" w:after="288"/>
        <w:contextualSpacing/>
      </w:pPr>
    </w:p>
    <w:p w14:paraId="6FD73242" w14:textId="3A32755D" w:rsidR="00DC0ACF" w:rsidRPr="00BD1093" w:rsidRDefault="00DC0ACF" w:rsidP="00DC0ACF">
      <w:pPr>
        <w:spacing w:beforeLines="120" w:before="288" w:afterLines="120" w:after="288"/>
        <w:contextualSpacing/>
        <w:rPr>
          <w:b/>
          <w:i/>
        </w:rPr>
      </w:pPr>
      <w:r w:rsidRPr="00BD1093">
        <w:rPr>
          <w:b/>
          <w:i/>
        </w:rPr>
        <w:t xml:space="preserve">Maximum </w:t>
      </w:r>
      <w:r w:rsidR="00315FDC">
        <w:rPr>
          <w:b/>
          <w:i/>
        </w:rPr>
        <w:t>O</w:t>
      </w:r>
      <w:r w:rsidRPr="00BD1093">
        <w:rPr>
          <w:b/>
          <w:i/>
        </w:rPr>
        <w:t xml:space="preserve">ffering </w:t>
      </w:r>
      <w:r w:rsidR="00315FDC">
        <w:rPr>
          <w:b/>
          <w:i/>
        </w:rPr>
        <w:t>A</w:t>
      </w:r>
      <w:r w:rsidRPr="00BD1093">
        <w:rPr>
          <w:b/>
          <w:i/>
        </w:rPr>
        <w:t>mount (if different from Target Offering Amount):</w:t>
      </w:r>
    </w:p>
    <w:p w14:paraId="2DB00304" w14:textId="77777777" w:rsidR="00DC0ACF" w:rsidRPr="00540D33" w:rsidRDefault="00DC0ACF" w:rsidP="00DC0ACF">
      <w:pPr>
        <w:spacing w:beforeLines="120" w:before="288" w:afterLines="120" w:after="288"/>
        <w:contextualSpacing/>
        <w:rPr>
          <w:highlight w:val="red"/>
        </w:rPr>
      </w:pPr>
    </w:p>
    <w:p w14:paraId="54707FCD" w14:textId="2682FE1C" w:rsidR="00DC0ACF" w:rsidRPr="0063792C" w:rsidRDefault="00DC0ACF" w:rsidP="00DC0ACF">
      <w:pPr>
        <w:spacing w:beforeLines="120" w:before="288" w:afterLines="120" w:after="288"/>
        <w:contextualSpacing/>
      </w:pPr>
      <w:r w:rsidRPr="0029799F">
        <w:t>$1,</w:t>
      </w:r>
      <w:r w:rsidR="00982050" w:rsidRPr="0029799F">
        <w:t>235</w:t>
      </w:r>
      <w:r w:rsidRPr="0029799F">
        <w:t>,000</w:t>
      </w:r>
    </w:p>
    <w:p w14:paraId="7AE3C305" w14:textId="77777777" w:rsidR="00DC0ACF" w:rsidRPr="0063792C" w:rsidRDefault="00DC0ACF" w:rsidP="00DC0ACF">
      <w:pPr>
        <w:spacing w:beforeLines="120" w:before="288" w:afterLines="120" w:after="288"/>
        <w:contextualSpacing/>
      </w:pPr>
    </w:p>
    <w:p w14:paraId="0EBD9812" w14:textId="77777777" w:rsidR="00DC0ACF" w:rsidRPr="0063792C" w:rsidRDefault="00DC0ACF" w:rsidP="00DC0ACF">
      <w:pPr>
        <w:spacing w:beforeLines="120" w:before="288" w:afterLines="120" w:after="288"/>
        <w:contextualSpacing/>
        <w:rPr>
          <w:b/>
          <w:i/>
        </w:rPr>
      </w:pPr>
      <w:r w:rsidRPr="0063792C">
        <w:rPr>
          <w:b/>
          <w:i/>
        </w:rPr>
        <w:t xml:space="preserve">Deadline to reach the </w:t>
      </w:r>
      <w:r>
        <w:rPr>
          <w:b/>
          <w:i/>
        </w:rPr>
        <w:t>T</w:t>
      </w:r>
      <w:r w:rsidRPr="0063792C">
        <w:rPr>
          <w:b/>
          <w:i/>
        </w:rPr>
        <w:t xml:space="preserve">arget </w:t>
      </w:r>
      <w:r>
        <w:rPr>
          <w:b/>
          <w:i/>
        </w:rPr>
        <w:t>O</w:t>
      </w:r>
      <w:r w:rsidRPr="0063792C">
        <w:rPr>
          <w:b/>
          <w:i/>
        </w:rPr>
        <w:t xml:space="preserve">ffering </w:t>
      </w:r>
      <w:r>
        <w:rPr>
          <w:b/>
          <w:i/>
        </w:rPr>
        <w:t>A</w:t>
      </w:r>
      <w:r w:rsidRPr="0063792C">
        <w:rPr>
          <w:b/>
          <w:i/>
        </w:rPr>
        <w:t>mount</w:t>
      </w:r>
      <w:r>
        <w:rPr>
          <w:b/>
          <w:i/>
        </w:rPr>
        <w:t>:</w:t>
      </w:r>
    </w:p>
    <w:p w14:paraId="1A7FAAC1" w14:textId="77777777" w:rsidR="00DC0ACF" w:rsidRPr="0063792C" w:rsidRDefault="00DC0ACF" w:rsidP="00DC0ACF">
      <w:pPr>
        <w:spacing w:beforeLines="120" w:before="288" w:afterLines="120" w:after="288"/>
        <w:contextualSpacing/>
      </w:pPr>
    </w:p>
    <w:p w14:paraId="0F6EE36E" w14:textId="7C8F25D0" w:rsidR="00DC0ACF" w:rsidRDefault="00106456" w:rsidP="002E76DE">
      <w:pPr>
        <w:spacing w:beforeLines="120" w:before="288" w:afterLines="120" w:after="288"/>
        <w:contextualSpacing/>
      </w:pPr>
      <w:r w:rsidRPr="00106456">
        <w:t>November 1</w:t>
      </w:r>
      <w:r w:rsidR="00853BA2">
        <w:t>1</w:t>
      </w:r>
      <w:r w:rsidR="002E76DE" w:rsidRPr="00106456">
        <w:t>, 202</w:t>
      </w:r>
      <w:r w:rsidR="0029799F" w:rsidRPr="00106456">
        <w:t>4</w:t>
      </w:r>
    </w:p>
    <w:p w14:paraId="1DBEFAC2" w14:textId="77777777" w:rsidR="002E76DE" w:rsidRPr="0063792C" w:rsidRDefault="002E76DE" w:rsidP="002E76DE">
      <w:pPr>
        <w:spacing w:beforeLines="120" w:before="288" w:afterLines="120" w:after="288"/>
        <w:contextualSpacing/>
        <w:rPr>
          <w:b/>
        </w:rPr>
      </w:pPr>
    </w:p>
    <w:p w14:paraId="2C17B426" w14:textId="5CFFD959" w:rsidR="00DC0ACF" w:rsidRPr="0063792C" w:rsidRDefault="00DC0ACF" w:rsidP="00DC0ACF">
      <w:pPr>
        <w:spacing w:beforeLines="120" w:before="288" w:afterLines="120" w:after="288"/>
        <w:contextualSpacing/>
        <w:jc w:val="left"/>
      </w:pPr>
      <w:r w:rsidRPr="0063792C">
        <w:rPr>
          <w:b/>
        </w:rPr>
        <w:t xml:space="preserve">If the sum of the investment commitments does not equal or exceed the </w:t>
      </w:r>
      <w:r w:rsidR="00815F4B">
        <w:rPr>
          <w:b/>
        </w:rPr>
        <w:t>T</w:t>
      </w:r>
      <w:r w:rsidRPr="0063792C">
        <w:rPr>
          <w:b/>
        </w:rPr>
        <w:t xml:space="preserve">arget </w:t>
      </w:r>
      <w:r w:rsidR="00815F4B">
        <w:rPr>
          <w:b/>
        </w:rPr>
        <w:t>O</w:t>
      </w:r>
      <w:r w:rsidRPr="0063792C">
        <w:rPr>
          <w:b/>
        </w:rPr>
        <w:t xml:space="preserve">ffering </w:t>
      </w:r>
      <w:r w:rsidR="00815F4B">
        <w:rPr>
          <w:b/>
        </w:rPr>
        <w:t>A</w:t>
      </w:r>
      <w:r w:rsidRPr="0063792C">
        <w:rPr>
          <w:b/>
        </w:rPr>
        <w:t xml:space="preserve">mount at the </w:t>
      </w:r>
      <w:r w:rsidR="00815F4B">
        <w:rPr>
          <w:b/>
        </w:rPr>
        <w:t>D</w:t>
      </w:r>
      <w:r w:rsidRPr="0063792C">
        <w:rPr>
          <w:b/>
        </w:rPr>
        <w:t xml:space="preserve">eadline to reach the </w:t>
      </w:r>
      <w:r w:rsidR="00815F4B">
        <w:rPr>
          <w:b/>
        </w:rPr>
        <w:t>T</w:t>
      </w:r>
      <w:r w:rsidRPr="0063792C">
        <w:rPr>
          <w:b/>
        </w:rPr>
        <w:t xml:space="preserve">arget </w:t>
      </w:r>
      <w:r w:rsidR="00815F4B">
        <w:rPr>
          <w:b/>
        </w:rPr>
        <w:t>O</w:t>
      </w:r>
      <w:r w:rsidRPr="0063792C">
        <w:rPr>
          <w:b/>
        </w:rPr>
        <w:t xml:space="preserve">ffering </w:t>
      </w:r>
      <w:r w:rsidR="00815F4B">
        <w:rPr>
          <w:b/>
        </w:rPr>
        <w:t>A</w:t>
      </w:r>
      <w:r w:rsidRPr="0063792C">
        <w:rPr>
          <w:b/>
        </w:rPr>
        <w:t xml:space="preserve">mount, no Securities will be sold in the </w:t>
      </w:r>
      <w:r w:rsidR="00315FDC">
        <w:rPr>
          <w:b/>
        </w:rPr>
        <w:t>O</w:t>
      </w:r>
      <w:r w:rsidRPr="0063792C">
        <w:rPr>
          <w:b/>
        </w:rPr>
        <w:t>ffering, investment commitments will be canceled and committed funds will be returned.</w:t>
      </w:r>
    </w:p>
    <w:p w14:paraId="2466F0B2" w14:textId="77777777" w:rsidR="00DC0ACF" w:rsidRPr="0063792C" w:rsidRDefault="00DC0ACF" w:rsidP="00DC0ACF">
      <w:pPr>
        <w:spacing w:beforeLines="120" w:before="288" w:afterLines="120" w:after="288"/>
        <w:contextualSpacing/>
      </w:pPr>
    </w:p>
    <w:p w14:paraId="1C2C9CCE" w14:textId="77777777" w:rsidR="00DC0ACF" w:rsidRPr="0063792C" w:rsidRDefault="00DC0ACF" w:rsidP="00DC0ACF">
      <w:pPr>
        <w:spacing w:beforeLines="120" w:before="288" w:afterLines="120" w:after="288"/>
        <w:contextualSpacing/>
        <w:rPr>
          <w:b/>
          <w:i/>
        </w:rPr>
      </w:pPr>
      <w:r w:rsidRPr="0063792C">
        <w:rPr>
          <w:b/>
          <w:i/>
        </w:rPr>
        <w:t xml:space="preserve">Current </w:t>
      </w:r>
      <w:r>
        <w:rPr>
          <w:b/>
          <w:i/>
        </w:rPr>
        <w:t>N</w:t>
      </w:r>
      <w:r w:rsidRPr="0063792C">
        <w:rPr>
          <w:b/>
          <w:i/>
        </w:rPr>
        <w:t xml:space="preserve">umber of </w:t>
      </w:r>
      <w:r>
        <w:rPr>
          <w:b/>
          <w:i/>
        </w:rPr>
        <w:t>E</w:t>
      </w:r>
      <w:r w:rsidRPr="0063792C">
        <w:rPr>
          <w:b/>
          <w:i/>
        </w:rPr>
        <w:t>mployees</w:t>
      </w:r>
      <w:r>
        <w:rPr>
          <w:b/>
          <w:i/>
        </w:rPr>
        <w:t>:</w:t>
      </w:r>
    </w:p>
    <w:p w14:paraId="768850E4" w14:textId="77777777" w:rsidR="00DC0ACF" w:rsidRPr="0063792C" w:rsidRDefault="00DC0ACF" w:rsidP="00DC0ACF">
      <w:pPr>
        <w:spacing w:beforeLines="120" w:before="288" w:afterLines="120" w:after="288"/>
        <w:contextualSpacing/>
      </w:pPr>
    </w:p>
    <w:p w14:paraId="669434A9" w14:textId="7D944FA1" w:rsidR="00DC0ACF" w:rsidRPr="002507AC" w:rsidRDefault="002507AC" w:rsidP="00DC0ACF">
      <w:pPr>
        <w:spacing w:beforeLines="120" w:before="288" w:afterLines="120" w:after="288"/>
        <w:contextualSpacing/>
      </w:pPr>
      <w:r w:rsidRPr="002507AC">
        <w:t>0</w:t>
      </w:r>
    </w:p>
    <w:p w14:paraId="3D58A43B" w14:textId="1EE53067" w:rsidR="00C46FE4" w:rsidRDefault="00C46FE4" w:rsidP="00DC0ACF">
      <w:pPr>
        <w:spacing w:beforeLines="120" w:before="288" w:afterLines="120" w:after="288"/>
        <w:contextualSpacing/>
        <w:rPr>
          <w:highlight w:val="yellow"/>
        </w:rPr>
      </w:pPr>
    </w:p>
    <w:p w14:paraId="597E932F" w14:textId="24423206" w:rsidR="00C46FE4" w:rsidRDefault="00C46FE4" w:rsidP="00DC0ACF">
      <w:pPr>
        <w:spacing w:beforeLines="120" w:before="288" w:afterLines="120" w:after="288"/>
        <w:contextualSpacing/>
        <w:rPr>
          <w:highlight w:val="yellow"/>
        </w:rPr>
      </w:pPr>
    </w:p>
    <w:p w14:paraId="1A85CF1F" w14:textId="67A934AE" w:rsidR="00C46FE4" w:rsidRDefault="00C46FE4" w:rsidP="00DC0ACF">
      <w:pPr>
        <w:spacing w:beforeLines="120" w:before="288" w:afterLines="120" w:after="288"/>
        <w:contextualSpacing/>
        <w:rPr>
          <w:highlight w:val="yellow"/>
        </w:rPr>
      </w:pPr>
    </w:p>
    <w:p w14:paraId="6156EC2C" w14:textId="77777777" w:rsidR="00C46FE4" w:rsidRDefault="00C46FE4" w:rsidP="00DC0ACF">
      <w:pPr>
        <w:spacing w:beforeLines="120" w:before="288" w:afterLines="120" w:after="288"/>
        <w:contextualSpacing/>
        <w:rPr>
          <w:highlight w:val="yellow"/>
        </w:rPr>
      </w:pPr>
    </w:p>
    <w:p w14:paraId="5EB51EB8" w14:textId="77777777" w:rsidR="00DC0ACF" w:rsidRPr="00540D33" w:rsidRDefault="00DC0ACF" w:rsidP="00DC0ACF">
      <w:pPr>
        <w:spacing w:beforeLines="120" w:before="288" w:afterLines="120" w:after="288"/>
        <w:contextualSpacing/>
        <w:rPr>
          <w:highlight w:val="yellow"/>
        </w:rPr>
      </w:pPr>
    </w:p>
    <w:tbl>
      <w:tblPr>
        <w:tblStyle w:val="15"/>
        <w:tblW w:w="9360" w:type="dxa"/>
        <w:tblInd w:w="100" w:type="dxa"/>
        <w:tblLayout w:type="fixed"/>
        <w:tblLook w:val="0000" w:firstRow="0" w:lastRow="0" w:firstColumn="0" w:lastColumn="0" w:noHBand="0" w:noVBand="0"/>
      </w:tblPr>
      <w:tblGrid>
        <w:gridCol w:w="3120"/>
        <w:gridCol w:w="3120"/>
        <w:gridCol w:w="3120"/>
      </w:tblGrid>
      <w:tr w:rsidR="00DC0ACF" w:rsidRPr="0063792C" w14:paraId="584872C7" w14:textId="77777777" w:rsidTr="00BD59DC">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5686530" w14:textId="77777777" w:rsidR="00DC0ACF" w:rsidRPr="0063792C" w:rsidRDefault="00DC0ACF" w:rsidP="00BD59DC">
            <w:pPr>
              <w:spacing w:beforeLines="120" w:before="288" w:afterLines="120" w:after="288"/>
              <w:contextualSpacing/>
              <w:jc w:val="center"/>
              <w:rPr>
                <w:b/>
              </w:rPr>
            </w:pPr>
          </w:p>
        </w:tc>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0FED54D" w14:textId="77777777" w:rsidR="00DC0ACF" w:rsidRPr="0063792C" w:rsidRDefault="00DC0ACF" w:rsidP="00BD59DC">
            <w:pPr>
              <w:spacing w:beforeLines="120" w:before="288" w:afterLines="120" w:after="288"/>
              <w:contextualSpacing/>
              <w:jc w:val="center"/>
              <w:rPr>
                <w:b/>
              </w:rPr>
            </w:pPr>
            <w:r w:rsidRPr="0063792C">
              <w:rPr>
                <w:b/>
              </w:rPr>
              <w:t>Most recent fiscal year-end</w:t>
            </w:r>
          </w:p>
          <w:p w14:paraId="7B49D644" w14:textId="66A5C1CD" w:rsidR="00DC0ACF" w:rsidRPr="0063792C" w:rsidRDefault="00DC0ACF" w:rsidP="00BD59DC">
            <w:pPr>
              <w:spacing w:beforeLines="120" w:before="288" w:afterLines="120" w:after="288"/>
              <w:contextualSpacing/>
              <w:jc w:val="center"/>
              <w:rPr>
                <w:b/>
              </w:rPr>
            </w:pPr>
            <w:r w:rsidRPr="0063792C">
              <w:rPr>
                <w:b/>
              </w:rPr>
              <w:t>(20</w:t>
            </w:r>
            <w:r>
              <w:rPr>
                <w:b/>
              </w:rPr>
              <w:t>2</w:t>
            </w:r>
            <w:r w:rsidR="008B7F64">
              <w:rPr>
                <w:b/>
              </w:rPr>
              <w:t>3</w:t>
            </w:r>
            <w:r w:rsidRPr="0063792C">
              <w:rPr>
                <w:b/>
              </w:rPr>
              <w:t xml:space="preserve">) </w:t>
            </w:r>
          </w:p>
        </w:tc>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AADF31A" w14:textId="77777777" w:rsidR="00DC0ACF" w:rsidRPr="0063792C" w:rsidRDefault="00DC0ACF" w:rsidP="00BD59DC">
            <w:pPr>
              <w:keepNext/>
              <w:keepLines/>
              <w:spacing w:beforeLines="120" w:before="288" w:afterLines="120" w:after="288"/>
              <w:contextualSpacing/>
              <w:jc w:val="center"/>
              <w:rPr>
                <w:b/>
              </w:rPr>
            </w:pPr>
            <w:r w:rsidRPr="0063792C">
              <w:rPr>
                <w:b/>
              </w:rPr>
              <w:t>Prior fiscal year-end</w:t>
            </w:r>
          </w:p>
          <w:p w14:paraId="5E5404C9" w14:textId="69B5D0A9" w:rsidR="00DC0ACF" w:rsidRPr="0063792C" w:rsidRDefault="00DC0ACF" w:rsidP="00BD59DC">
            <w:pPr>
              <w:keepNext/>
              <w:keepLines/>
              <w:spacing w:beforeLines="120" w:before="288" w:afterLines="120" w:after="288"/>
              <w:contextualSpacing/>
              <w:jc w:val="center"/>
            </w:pPr>
            <w:r w:rsidRPr="0063792C">
              <w:rPr>
                <w:b/>
              </w:rPr>
              <w:t>(20</w:t>
            </w:r>
            <w:r w:rsidR="00C46FE4">
              <w:rPr>
                <w:b/>
              </w:rPr>
              <w:t>2</w:t>
            </w:r>
            <w:r w:rsidR="008B7F64">
              <w:rPr>
                <w:b/>
              </w:rPr>
              <w:t>2</w:t>
            </w:r>
            <w:r w:rsidRPr="0063792C">
              <w:rPr>
                <w:b/>
              </w:rPr>
              <w:t xml:space="preserve">) </w:t>
            </w:r>
          </w:p>
        </w:tc>
      </w:tr>
      <w:tr w:rsidR="00DC0ACF" w:rsidRPr="0063792C" w14:paraId="0C642876" w14:textId="77777777" w:rsidTr="00BD59DC">
        <w:trPr>
          <w:trHeight w:val="620"/>
        </w:trPr>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E681B60" w14:textId="77777777" w:rsidR="00DC0ACF" w:rsidRPr="0063792C" w:rsidRDefault="00DC0ACF" w:rsidP="00BD59DC">
            <w:pPr>
              <w:keepNext/>
              <w:keepLines/>
              <w:spacing w:beforeLines="120" w:before="288" w:afterLines="120" w:after="288"/>
              <w:contextualSpacing/>
              <w:jc w:val="center"/>
            </w:pPr>
            <w:r w:rsidRPr="0063792C">
              <w:rPr>
                <w:b/>
              </w:rPr>
              <w:t>Total Assets</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EF1EF9" w14:textId="2EE9E45F" w:rsidR="00DC0ACF" w:rsidRPr="002507AC" w:rsidRDefault="002507AC" w:rsidP="00BD59DC">
            <w:pPr>
              <w:keepNext/>
              <w:keepLines/>
              <w:spacing w:beforeLines="120" w:before="288" w:afterLines="120" w:after="288"/>
              <w:contextualSpacing/>
              <w:jc w:val="center"/>
            </w:pPr>
            <w:r w:rsidRPr="002507AC">
              <w:t>$217,127</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83FBEB" w14:textId="45BC4AA5" w:rsidR="00DC0ACF" w:rsidRPr="002507AC" w:rsidRDefault="002507AC" w:rsidP="00BD59DC">
            <w:pPr>
              <w:spacing w:beforeLines="120" w:before="288" w:afterLines="120" w:after="288"/>
              <w:contextualSpacing/>
              <w:jc w:val="center"/>
            </w:pPr>
            <w:r w:rsidRPr="002507AC">
              <w:t>$359,318</w:t>
            </w:r>
          </w:p>
        </w:tc>
      </w:tr>
      <w:tr w:rsidR="00DC0ACF" w:rsidRPr="0063792C" w14:paraId="1097C4E4" w14:textId="77777777" w:rsidTr="00BD59DC">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970F248" w14:textId="77777777" w:rsidR="00DC0ACF" w:rsidRPr="0063792C" w:rsidRDefault="00DC0ACF" w:rsidP="00BD59DC">
            <w:pPr>
              <w:keepNext/>
              <w:keepLines/>
              <w:spacing w:beforeLines="120" w:before="288" w:afterLines="120" w:after="288"/>
              <w:contextualSpacing/>
              <w:jc w:val="center"/>
            </w:pPr>
            <w:r w:rsidRPr="0063792C">
              <w:rPr>
                <w:b/>
              </w:rPr>
              <w:t>Cash &amp; Cash Equivalents</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0BB5EE" w14:textId="46E9C829" w:rsidR="00DC0ACF" w:rsidRPr="002507AC" w:rsidRDefault="002507AC" w:rsidP="00BD59DC">
            <w:pPr>
              <w:keepNext/>
              <w:keepLines/>
              <w:spacing w:beforeLines="120" w:before="288" w:afterLines="120" w:after="288"/>
              <w:contextualSpacing/>
              <w:jc w:val="center"/>
            </w:pPr>
            <w:r w:rsidRPr="002507AC">
              <w:t>$193,522</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4F5C61" w14:textId="24D9C4A6" w:rsidR="00DC0ACF" w:rsidRPr="002507AC" w:rsidRDefault="002507AC" w:rsidP="00BD59DC">
            <w:pPr>
              <w:spacing w:beforeLines="120" w:before="288" w:afterLines="120" w:after="288"/>
              <w:contextualSpacing/>
              <w:jc w:val="center"/>
            </w:pPr>
            <w:r w:rsidRPr="002507AC">
              <w:t>$354,348</w:t>
            </w:r>
          </w:p>
        </w:tc>
      </w:tr>
      <w:tr w:rsidR="00DC0ACF" w:rsidRPr="0063792C" w14:paraId="07A2FFD9" w14:textId="77777777" w:rsidTr="00BD59DC">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9691587" w14:textId="77777777" w:rsidR="00DC0ACF" w:rsidRPr="0063792C" w:rsidRDefault="00DC0ACF" w:rsidP="00BD59DC">
            <w:pPr>
              <w:keepNext/>
              <w:keepLines/>
              <w:spacing w:beforeLines="120" w:before="288" w:afterLines="120" w:after="288"/>
              <w:contextualSpacing/>
              <w:jc w:val="center"/>
            </w:pPr>
            <w:r w:rsidRPr="0063792C">
              <w:rPr>
                <w:b/>
              </w:rPr>
              <w:t>Accounts Receivable</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6BA672" w14:textId="6E094B68" w:rsidR="00DC0ACF" w:rsidRPr="002507AC" w:rsidRDefault="002507AC" w:rsidP="00BD59DC">
            <w:pPr>
              <w:keepNext/>
              <w:keepLines/>
              <w:spacing w:beforeLines="120" w:before="288" w:afterLines="120" w:after="288"/>
              <w:contextualSpacing/>
              <w:jc w:val="center"/>
            </w:pPr>
            <w:r w:rsidRPr="002507AC">
              <w:t>$0</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DD4B6B" w14:textId="7A9A4E08" w:rsidR="00DC0ACF" w:rsidRPr="002507AC" w:rsidRDefault="002507AC" w:rsidP="00BD59DC">
            <w:pPr>
              <w:spacing w:beforeLines="120" w:before="288" w:afterLines="120" w:after="288"/>
              <w:contextualSpacing/>
              <w:jc w:val="center"/>
            </w:pPr>
            <w:r w:rsidRPr="002507AC">
              <w:t>$0</w:t>
            </w:r>
          </w:p>
        </w:tc>
      </w:tr>
      <w:tr w:rsidR="00DC0ACF" w:rsidRPr="0063792C" w14:paraId="6CD6CB7F" w14:textId="77777777" w:rsidTr="00BD59DC">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33DCF3F" w14:textId="614061DA" w:rsidR="00DC0ACF" w:rsidRPr="0063792C" w:rsidRDefault="00A526A3" w:rsidP="00BD59DC">
            <w:pPr>
              <w:keepNext/>
              <w:keepLines/>
              <w:spacing w:beforeLines="120" w:before="288" w:afterLines="120" w:after="288"/>
              <w:contextualSpacing/>
              <w:jc w:val="center"/>
            </w:pPr>
            <w:r>
              <w:rPr>
                <w:b/>
              </w:rPr>
              <w:t>Current Liabilities</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446C31" w14:textId="6250F132" w:rsidR="00DC0ACF" w:rsidRPr="002507AC" w:rsidRDefault="002507AC" w:rsidP="00BD59DC">
            <w:pPr>
              <w:keepNext/>
              <w:keepLines/>
              <w:spacing w:beforeLines="120" w:before="288" w:afterLines="120" w:after="288"/>
              <w:contextualSpacing/>
              <w:jc w:val="center"/>
            </w:pPr>
            <w:r w:rsidRPr="002507AC">
              <w:t>$</w:t>
            </w:r>
            <w:r w:rsidR="009E3288">
              <w:t>168,876</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F77881" w14:textId="31F37F13" w:rsidR="00DC0ACF" w:rsidRPr="002507AC" w:rsidRDefault="002507AC" w:rsidP="00BD59DC">
            <w:pPr>
              <w:spacing w:beforeLines="120" w:before="288" w:afterLines="120" w:after="288"/>
              <w:contextualSpacing/>
              <w:jc w:val="center"/>
            </w:pPr>
            <w:r w:rsidRPr="002507AC">
              <w:t>$</w:t>
            </w:r>
            <w:r w:rsidR="009E3288">
              <w:t>127,315</w:t>
            </w:r>
          </w:p>
        </w:tc>
      </w:tr>
      <w:tr w:rsidR="00DC0ACF" w:rsidRPr="0063792C" w14:paraId="0FE7855D" w14:textId="77777777" w:rsidTr="00BD59DC">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749B0DD" w14:textId="433B1E2B" w:rsidR="00DC0ACF" w:rsidRPr="0063792C" w:rsidRDefault="00DC0ACF" w:rsidP="00BD59DC">
            <w:pPr>
              <w:keepNext/>
              <w:keepLines/>
              <w:spacing w:beforeLines="120" w:before="288" w:afterLines="120" w:after="288"/>
              <w:contextualSpacing/>
              <w:jc w:val="center"/>
            </w:pPr>
            <w:r w:rsidRPr="0063792C">
              <w:rPr>
                <w:b/>
              </w:rPr>
              <w:t>Long-</w:t>
            </w:r>
            <w:r w:rsidR="00A526A3">
              <w:rPr>
                <w:b/>
              </w:rPr>
              <w:t>T</w:t>
            </w:r>
            <w:r w:rsidRPr="0063792C">
              <w:rPr>
                <w:b/>
              </w:rPr>
              <w:t xml:space="preserve">erm </w:t>
            </w:r>
            <w:r w:rsidR="00A526A3">
              <w:rPr>
                <w:b/>
              </w:rPr>
              <w:t>Liabilities</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12CD27" w14:textId="5BA23FE8" w:rsidR="00DC0ACF" w:rsidRPr="002507AC" w:rsidRDefault="002507AC" w:rsidP="00BD59DC">
            <w:pPr>
              <w:keepNext/>
              <w:keepLines/>
              <w:spacing w:beforeLines="120" w:before="288" w:afterLines="120" w:after="288"/>
              <w:contextualSpacing/>
              <w:jc w:val="center"/>
            </w:pPr>
            <w:r w:rsidRPr="002507AC">
              <w:t>$</w:t>
            </w:r>
            <w:r w:rsidR="009E3288">
              <w:t>1,078,124</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5513DB" w14:textId="0290C6B4" w:rsidR="00DC0ACF" w:rsidRPr="002507AC" w:rsidRDefault="002507AC" w:rsidP="00BD59DC">
            <w:pPr>
              <w:spacing w:beforeLines="120" w:before="288" w:afterLines="120" w:after="288"/>
              <w:contextualSpacing/>
              <w:jc w:val="center"/>
            </w:pPr>
            <w:r w:rsidRPr="002507AC">
              <w:t>$</w:t>
            </w:r>
            <w:r w:rsidR="009E3288">
              <w:t>901,134</w:t>
            </w:r>
          </w:p>
        </w:tc>
      </w:tr>
      <w:tr w:rsidR="00DC0ACF" w:rsidRPr="0063792C" w14:paraId="56B77BC4" w14:textId="77777777" w:rsidTr="00BD59DC">
        <w:trPr>
          <w:trHeight w:val="660"/>
        </w:trPr>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FF3FB3B" w14:textId="77777777" w:rsidR="00DC0ACF" w:rsidRPr="0063792C" w:rsidRDefault="00DC0ACF" w:rsidP="00BD59DC">
            <w:pPr>
              <w:keepNext/>
              <w:keepLines/>
              <w:spacing w:beforeLines="120" w:before="288" w:afterLines="120" w:after="288"/>
              <w:contextualSpacing/>
              <w:jc w:val="center"/>
            </w:pPr>
            <w:r w:rsidRPr="0063792C">
              <w:rPr>
                <w:b/>
              </w:rPr>
              <w:t>Revenues/Sales</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F9D3FD" w14:textId="36CD0C1B" w:rsidR="00DC0ACF" w:rsidRPr="002507AC" w:rsidRDefault="002507AC" w:rsidP="00BD59DC">
            <w:pPr>
              <w:keepNext/>
              <w:keepLines/>
              <w:spacing w:beforeLines="120" w:before="288" w:afterLines="120" w:after="288"/>
              <w:contextualSpacing/>
              <w:jc w:val="center"/>
            </w:pPr>
            <w:r w:rsidRPr="002507AC">
              <w:t>$1,039,692</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464450" w14:textId="631B323C" w:rsidR="00DC0ACF" w:rsidRPr="002507AC" w:rsidRDefault="002507AC" w:rsidP="00BD59DC">
            <w:pPr>
              <w:spacing w:beforeLines="120" w:before="288" w:afterLines="120" w:after="288"/>
              <w:contextualSpacing/>
              <w:jc w:val="center"/>
            </w:pPr>
            <w:r w:rsidRPr="002507AC">
              <w:t>$623,872</w:t>
            </w:r>
          </w:p>
        </w:tc>
      </w:tr>
      <w:tr w:rsidR="00DC0ACF" w:rsidRPr="0063792C" w14:paraId="0285B5C1" w14:textId="77777777" w:rsidTr="00BD59DC">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813EBB6" w14:textId="77777777" w:rsidR="00DC0ACF" w:rsidRPr="0063792C" w:rsidRDefault="00DC0ACF" w:rsidP="00BD59DC">
            <w:pPr>
              <w:keepNext/>
              <w:keepLines/>
              <w:spacing w:beforeLines="120" w:before="288" w:afterLines="120" w:after="288"/>
              <w:contextualSpacing/>
              <w:jc w:val="center"/>
            </w:pPr>
            <w:r w:rsidRPr="0063792C">
              <w:rPr>
                <w:b/>
              </w:rPr>
              <w:t>Cost of Goods Sold</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469956" w14:textId="682D75E0" w:rsidR="00DC0ACF" w:rsidRPr="002507AC" w:rsidRDefault="002507AC" w:rsidP="00BD59DC">
            <w:pPr>
              <w:keepNext/>
              <w:keepLines/>
              <w:spacing w:beforeLines="120" w:before="288" w:afterLines="120" w:after="288"/>
              <w:contextualSpacing/>
              <w:jc w:val="center"/>
            </w:pPr>
            <w:r w:rsidRPr="002507AC">
              <w:t>$383,150</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752128" w14:textId="31500E41" w:rsidR="00DC0ACF" w:rsidRPr="002507AC" w:rsidRDefault="002507AC" w:rsidP="00BD59DC">
            <w:pPr>
              <w:spacing w:beforeLines="120" w:before="288" w:afterLines="120" w:after="288"/>
              <w:contextualSpacing/>
              <w:jc w:val="center"/>
            </w:pPr>
            <w:r w:rsidRPr="002507AC">
              <w:t>$259,848</w:t>
            </w:r>
          </w:p>
        </w:tc>
      </w:tr>
      <w:tr w:rsidR="00DC0ACF" w:rsidRPr="0063792C" w14:paraId="62202CD6" w14:textId="77777777" w:rsidTr="00BD59DC">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E9A65C2" w14:textId="77777777" w:rsidR="00DC0ACF" w:rsidRPr="0063792C" w:rsidRDefault="00DC0ACF" w:rsidP="00BD59DC">
            <w:pPr>
              <w:keepNext/>
              <w:keepLines/>
              <w:spacing w:beforeLines="120" w:before="288" w:afterLines="120" w:after="288"/>
              <w:contextualSpacing/>
              <w:jc w:val="center"/>
            </w:pPr>
            <w:r w:rsidRPr="0063792C">
              <w:rPr>
                <w:b/>
              </w:rPr>
              <w:t>Taxes Paid</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3EA99B" w14:textId="617B7DB9" w:rsidR="00DC0ACF" w:rsidRPr="002507AC" w:rsidRDefault="002507AC" w:rsidP="00BD59DC">
            <w:pPr>
              <w:keepNext/>
              <w:keepLines/>
              <w:spacing w:beforeLines="120" w:before="288" w:afterLines="120" w:after="288"/>
              <w:contextualSpacing/>
              <w:jc w:val="center"/>
            </w:pPr>
            <w:r w:rsidRPr="002507AC">
              <w:t>$0</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FD7FE4" w14:textId="44CCDE88" w:rsidR="00DC0ACF" w:rsidRPr="002507AC" w:rsidRDefault="002507AC" w:rsidP="00BD59DC">
            <w:pPr>
              <w:spacing w:beforeLines="120" w:before="288" w:afterLines="120" w:after="288"/>
              <w:contextualSpacing/>
              <w:jc w:val="center"/>
            </w:pPr>
            <w:r w:rsidRPr="002507AC">
              <w:t>$0</w:t>
            </w:r>
          </w:p>
        </w:tc>
      </w:tr>
      <w:tr w:rsidR="00DC0ACF" w:rsidRPr="0063792C" w14:paraId="48C48AC4" w14:textId="77777777" w:rsidTr="00BD59DC">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764F3E0" w14:textId="2A559721" w:rsidR="00DC0ACF" w:rsidRPr="0063792C" w:rsidRDefault="00DC0ACF" w:rsidP="00BD59DC">
            <w:pPr>
              <w:keepNext/>
              <w:keepLines/>
              <w:spacing w:beforeLines="120" w:before="288" w:afterLines="120" w:after="288"/>
              <w:contextualSpacing/>
              <w:jc w:val="center"/>
            </w:pPr>
            <w:r w:rsidRPr="0063792C">
              <w:rPr>
                <w:b/>
              </w:rPr>
              <w:t>Net Income</w:t>
            </w:r>
            <w:r w:rsidR="00A526A3">
              <w:rPr>
                <w:b/>
              </w:rPr>
              <w:t>/(Loss)</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EC7B97" w14:textId="072387FD" w:rsidR="00DC0ACF" w:rsidRPr="002507AC" w:rsidRDefault="002507AC" w:rsidP="00BD59DC">
            <w:pPr>
              <w:keepNext/>
              <w:keepLines/>
              <w:spacing w:beforeLines="120" w:before="288" w:afterLines="120" w:after="288"/>
              <w:contextualSpacing/>
              <w:jc w:val="center"/>
            </w:pPr>
            <w:r w:rsidRPr="002507AC">
              <w:t>$(</w:t>
            </w:r>
            <w:r w:rsidR="009E3288">
              <w:t>390,839</w:t>
            </w:r>
            <w:r w:rsidRPr="002507AC">
              <w:t>)</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4E37ED" w14:textId="1A92FCE3" w:rsidR="00DC0ACF" w:rsidRPr="002507AC" w:rsidRDefault="002507AC" w:rsidP="00BD59DC">
            <w:pPr>
              <w:spacing w:beforeLines="120" w:before="288" w:afterLines="120" w:after="288"/>
              <w:contextualSpacing/>
              <w:jc w:val="center"/>
            </w:pPr>
            <w:r w:rsidRPr="002507AC">
              <w:t>$(</w:t>
            </w:r>
            <w:r w:rsidR="009E3288">
              <w:t>450,950</w:t>
            </w:r>
            <w:r w:rsidRPr="002507AC">
              <w:t>)</w:t>
            </w:r>
          </w:p>
        </w:tc>
      </w:tr>
    </w:tbl>
    <w:p w14:paraId="370C4ADC" w14:textId="77777777" w:rsidR="00DC0ACF" w:rsidRPr="0063792C" w:rsidRDefault="00DC0ACF" w:rsidP="00DC0ACF">
      <w:pPr>
        <w:spacing w:beforeLines="120" w:before="288" w:afterLines="120" w:after="288"/>
        <w:contextualSpacing/>
      </w:pPr>
    </w:p>
    <w:p w14:paraId="6DA0A29A" w14:textId="77777777" w:rsidR="00DC0ACF" w:rsidRPr="0063792C" w:rsidRDefault="00DC0ACF" w:rsidP="00DC0ACF">
      <w:pPr>
        <w:spacing w:beforeLines="120" w:before="288" w:afterLines="120" w:after="288"/>
        <w:contextualSpacing/>
        <w:rPr>
          <w:b/>
          <w:i/>
        </w:rPr>
      </w:pPr>
    </w:p>
    <w:p w14:paraId="468ACF21" w14:textId="486EE4B1" w:rsidR="00DC0ACF" w:rsidRPr="0063792C" w:rsidRDefault="00DC0ACF" w:rsidP="00DC0ACF">
      <w:pPr>
        <w:spacing w:beforeLines="120" w:before="288" w:afterLines="120" w:after="288"/>
        <w:contextualSpacing/>
        <w:rPr>
          <w:b/>
          <w:i/>
        </w:rPr>
      </w:pPr>
      <w:r w:rsidRPr="0063792C">
        <w:rPr>
          <w:b/>
          <w:i/>
        </w:rPr>
        <w:t xml:space="preserve">The jurisdictions in which the </w:t>
      </w:r>
      <w:r w:rsidR="00315FDC">
        <w:rPr>
          <w:b/>
          <w:i/>
        </w:rPr>
        <w:t>I</w:t>
      </w:r>
      <w:r w:rsidRPr="0063792C">
        <w:rPr>
          <w:b/>
          <w:i/>
        </w:rPr>
        <w:t>ssuer intends to offer the securities:</w:t>
      </w:r>
    </w:p>
    <w:p w14:paraId="5638EF17" w14:textId="77777777" w:rsidR="00DC0ACF" w:rsidRPr="0063792C" w:rsidRDefault="00DC0ACF" w:rsidP="00DC0ACF">
      <w:pPr>
        <w:spacing w:beforeLines="120" w:before="288" w:afterLines="120" w:after="288"/>
        <w:contextualSpacing/>
      </w:pPr>
    </w:p>
    <w:p w14:paraId="613937D8" w14:textId="77777777" w:rsidR="00DC0ACF" w:rsidRPr="0063792C" w:rsidRDefault="00DC0ACF" w:rsidP="00DC0ACF">
      <w:pPr>
        <w:spacing w:beforeLines="120" w:before="288" w:afterLines="120" w:after="288"/>
        <w:contextualSpacing/>
      </w:pPr>
      <w:r w:rsidRPr="0063792C">
        <w:t>Alabama, Alaska, Arizona, Arkansas, California, Colorado, Connecticut, Delaware, District Of Columbia, Florida, Georgia, Guam, Hawaii, Idaho, Illinois, Indiana, Iowa, Kansas, Kentucky, Louisiana, Maine, Maryland, Massachusetts, Michigan, Minnesota, Mississippi, Missouri, Montana, Nebraska, Nevada, New Hampshire, New Jersey, New Mexico, New York, North Carolina, North Dakota, Ohio, Oklahoma, Oregon, Pennsylvania, Puerto Rico, Rhode Island, South Carolina, South Dakota, Tennessee, Texas, Utah, Vermont, Virgin Islands, U.S., Virginia, Washington, West Virginia, Wisconsin, Wyoming, American Samoa, and Northern Mariana Islands</w:t>
      </w:r>
    </w:p>
    <w:p w14:paraId="6B204849" w14:textId="77777777" w:rsidR="00DC0ACF" w:rsidRDefault="00DC0ACF" w:rsidP="00DC0ACF">
      <w:pPr>
        <w:jc w:val="center"/>
        <w:rPr>
          <w:b/>
        </w:rPr>
      </w:pPr>
    </w:p>
    <w:p w14:paraId="50820B29" w14:textId="77777777" w:rsidR="00DC0ACF" w:rsidRDefault="00DC0ACF" w:rsidP="00DC0ACF">
      <w:pPr>
        <w:jc w:val="center"/>
        <w:rPr>
          <w:b/>
        </w:rPr>
      </w:pPr>
    </w:p>
    <w:p w14:paraId="27F2FA70" w14:textId="77777777" w:rsidR="00DC0ACF" w:rsidRDefault="00DC0ACF" w:rsidP="00DC0ACF">
      <w:pPr>
        <w:jc w:val="center"/>
        <w:rPr>
          <w:b/>
        </w:rPr>
      </w:pPr>
    </w:p>
    <w:p w14:paraId="2F7E6CA9" w14:textId="77777777" w:rsidR="00DC0ACF" w:rsidRDefault="00DC0ACF" w:rsidP="00DC0ACF">
      <w:pPr>
        <w:jc w:val="center"/>
        <w:rPr>
          <w:b/>
        </w:rPr>
      </w:pPr>
    </w:p>
    <w:p w14:paraId="201B5E4C" w14:textId="77777777" w:rsidR="00DC0ACF" w:rsidRDefault="00DC0ACF" w:rsidP="00DC0ACF">
      <w:pPr>
        <w:jc w:val="center"/>
        <w:rPr>
          <w:b/>
        </w:rPr>
      </w:pPr>
    </w:p>
    <w:p w14:paraId="54FD4759" w14:textId="77777777" w:rsidR="00DC0ACF" w:rsidRDefault="00DC0ACF" w:rsidP="00DC0ACF">
      <w:pPr>
        <w:jc w:val="center"/>
        <w:rPr>
          <w:b/>
        </w:rPr>
      </w:pPr>
    </w:p>
    <w:p w14:paraId="13A714F3" w14:textId="77777777" w:rsidR="00DC0ACF" w:rsidRDefault="00DC0ACF" w:rsidP="00DC0ACF">
      <w:pPr>
        <w:jc w:val="center"/>
        <w:rPr>
          <w:b/>
        </w:rPr>
      </w:pPr>
    </w:p>
    <w:p w14:paraId="0BDB6C2C" w14:textId="77777777" w:rsidR="00DC0ACF" w:rsidRDefault="00DC0ACF" w:rsidP="00DC0ACF">
      <w:pPr>
        <w:jc w:val="center"/>
        <w:rPr>
          <w:b/>
        </w:rPr>
      </w:pPr>
    </w:p>
    <w:p w14:paraId="7BD188CE" w14:textId="77777777" w:rsidR="00DC0ACF" w:rsidRDefault="00DC0ACF" w:rsidP="00DC0ACF">
      <w:pPr>
        <w:jc w:val="center"/>
        <w:rPr>
          <w:b/>
        </w:rPr>
      </w:pPr>
    </w:p>
    <w:p w14:paraId="307A4936" w14:textId="77777777" w:rsidR="00DC0ACF" w:rsidRDefault="00DC0ACF" w:rsidP="00DC0ACF">
      <w:pPr>
        <w:jc w:val="center"/>
        <w:rPr>
          <w:b/>
        </w:rPr>
      </w:pPr>
    </w:p>
    <w:p w14:paraId="5E57788D" w14:textId="77777777" w:rsidR="00DC0ACF" w:rsidRDefault="00DC0ACF" w:rsidP="00DC0ACF">
      <w:pPr>
        <w:jc w:val="center"/>
        <w:rPr>
          <w:b/>
        </w:rPr>
      </w:pPr>
    </w:p>
    <w:p w14:paraId="5CB8B48E" w14:textId="77777777" w:rsidR="00DC0ACF" w:rsidRDefault="00DC0ACF" w:rsidP="00DC0ACF">
      <w:pPr>
        <w:jc w:val="center"/>
        <w:rPr>
          <w:b/>
        </w:rPr>
      </w:pPr>
    </w:p>
    <w:p w14:paraId="34F384AD" w14:textId="77777777" w:rsidR="00DC0ACF" w:rsidRDefault="00DC0ACF" w:rsidP="00DC0ACF">
      <w:pPr>
        <w:jc w:val="center"/>
        <w:rPr>
          <w:b/>
        </w:rPr>
      </w:pPr>
    </w:p>
    <w:p w14:paraId="7D35B98F" w14:textId="77777777" w:rsidR="00DC0ACF" w:rsidRDefault="00DC0ACF" w:rsidP="00DC0ACF">
      <w:pPr>
        <w:jc w:val="center"/>
        <w:rPr>
          <w:b/>
        </w:rPr>
      </w:pPr>
    </w:p>
    <w:p w14:paraId="111CA58D" w14:textId="77777777" w:rsidR="00DC0ACF" w:rsidRDefault="00DC0ACF" w:rsidP="00DC0ACF">
      <w:pPr>
        <w:jc w:val="center"/>
        <w:rPr>
          <w:b/>
        </w:rPr>
      </w:pPr>
    </w:p>
    <w:p w14:paraId="1307DCC8" w14:textId="77777777" w:rsidR="00DC0ACF" w:rsidRDefault="00DC0ACF" w:rsidP="00DC0ACF">
      <w:pPr>
        <w:jc w:val="center"/>
        <w:rPr>
          <w:b/>
        </w:rPr>
      </w:pPr>
    </w:p>
    <w:p w14:paraId="2FAD8DDE" w14:textId="77777777" w:rsidR="00DC0ACF" w:rsidRPr="0063792C" w:rsidRDefault="00DC0ACF" w:rsidP="00DC0ACF">
      <w:pPr>
        <w:jc w:val="center"/>
        <w:rPr>
          <w:b/>
        </w:rPr>
      </w:pPr>
    </w:p>
    <w:p w14:paraId="302853BE" w14:textId="77777777" w:rsidR="00DC0ACF" w:rsidRDefault="00DC0ACF" w:rsidP="00DC0ACF">
      <w:pPr>
        <w:jc w:val="center"/>
        <w:rPr>
          <w:b/>
          <w:highlight w:val="green"/>
        </w:rPr>
      </w:pPr>
    </w:p>
    <w:p w14:paraId="16216E8D" w14:textId="77777777" w:rsidR="00DC0ACF" w:rsidRDefault="00DC0ACF" w:rsidP="00DC0ACF">
      <w:pPr>
        <w:jc w:val="center"/>
        <w:rPr>
          <w:b/>
          <w:highlight w:val="green"/>
        </w:rPr>
      </w:pPr>
    </w:p>
    <w:p w14:paraId="1B9AD87D" w14:textId="43945E9B" w:rsidR="00DC0ACF" w:rsidRDefault="00DC0ACF" w:rsidP="00DC0ACF">
      <w:pPr>
        <w:jc w:val="center"/>
        <w:rPr>
          <w:b/>
          <w:highlight w:val="green"/>
        </w:rPr>
      </w:pPr>
    </w:p>
    <w:p w14:paraId="2DFE3DBF" w14:textId="0D938F46" w:rsidR="00BD1093" w:rsidRDefault="00BD1093" w:rsidP="00DC0ACF">
      <w:pPr>
        <w:jc w:val="center"/>
        <w:rPr>
          <w:b/>
          <w:highlight w:val="green"/>
        </w:rPr>
      </w:pPr>
    </w:p>
    <w:p w14:paraId="70EC1D75" w14:textId="2D331814" w:rsidR="00BD1093" w:rsidRDefault="00BD1093" w:rsidP="00DC0ACF">
      <w:pPr>
        <w:jc w:val="center"/>
        <w:rPr>
          <w:b/>
          <w:highlight w:val="green"/>
        </w:rPr>
      </w:pPr>
    </w:p>
    <w:p w14:paraId="1C2F7370" w14:textId="636C3DB1" w:rsidR="00BD1093" w:rsidRDefault="00BD1093" w:rsidP="00DC0ACF">
      <w:pPr>
        <w:jc w:val="center"/>
        <w:rPr>
          <w:b/>
          <w:highlight w:val="green"/>
        </w:rPr>
      </w:pPr>
    </w:p>
    <w:p w14:paraId="4A879D5F" w14:textId="4FAD18D5" w:rsidR="00BD1093" w:rsidRDefault="00BD1093" w:rsidP="00DC0ACF">
      <w:pPr>
        <w:jc w:val="center"/>
        <w:rPr>
          <w:b/>
          <w:highlight w:val="green"/>
        </w:rPr>
      </w:pPr>
    </w:p>
    <w:p w14:paraId="3E9E7C9E" w14:textId="611FA00C" w:rsidR="00BD1093" w:rsidRDefault="00BD1093" w:rsidP="00DC0ACF">
      <w:pPr>
        <w:jc w:val="center"/>
        <w:rPr>
          <w:b/>
          <w:highlight w:val="green"/>
        </w:rPr>
      </w:pPr>
    </w:p>
    <w:p w14:paraId="154BE6B8" w14:textId="1BDEEC13" w:rsidR="00BD1093" w:rsidRDefault="00BD1093" w:rsidP="00DC0ACF">
      <w:pPr>
        <w:jc w:val="center"/>
        <w:rPr>
          <w:b/>
          <w:highlight w:val="green"/>
        </w:rPr>
      </w:pPr>
    </w:p>
    <w:p w14:paraId="52135677" w14:textId="4AE8EA99" w:rsidR="00BD1093" w:rsidRDefault="00BD1093" w:rsidP="00DC0ACF">
      <w:pPr>
        <w:jc w:val="center"/>
        <w:rPr>
          <w:b/>
          <w:highlight w:val="green"/>
        </w:rPr>
      </w:pPr>
    </w:p>
    <w:p w14:paraId="647CC17A" w14:textId="77777777" w:rsidR="00BD1093" w:rsidRDefault="00BD1093" w:rsidP="00DC0ACF">
      <w:pPr>
        <w:jc w:val="center"/>
        <w:rPr>
          <w:b/>
          <w:highlight w:val="green"/>
        </w:rPr>
      </w:pPr>
    </w:p>
    <w:p w14:paraId="1E6FEEE8" w14:textId="66217C96" w:rsidR="00DC0ACF" w:rsidRPr="002E76DE" w:rsidRDefault="008B7F64" w:rsidP="00DC0ACF">
      <w:pPr>
        <w:jc w:val="center"/>
        <w:rPr>
          <w:b/>
          <w:sz w:val="28"/>
          <w:szCs w:val="28"/>
        </w:rPr>
      </w:pPr>
      <w:r w:rsidRPr="008B7F64">
        <w:rPr>
          <w:b/>
          <w:sz w:val="28"/>
          <w:szCs w:val="28"/>
        </w:rPr>
        <w:t>StartGlobal, Inc.</w:t>
      </w:r>
    </w:p>
    <w:p w14:paraId="472CF64C" w14:textId="77777777" w:rsidR="00DC0ACF" w:rsidRPr="002E76DE" w:rsidRDefault="00DC0ACF" w:rsidP="00DC0ACF">
      <w:pPr>
        <w:jc w:val="center"/>
        <w:rPr>
          <w:b/>
          <w:sz w:val="28"/>
          <w:szCs w:val="28"/>
        </w:rPr>
      </w:pPr>
    </w:p>
    <w:p w14:paraId="5AAF2781" w14:textId="2EFF36DC" w:rsidR="00DC0ACF" w:rsidRPr="002E76DE" w:rsidRDefault="002507AC" w:rsidP="00D0194F">
      <w:pPr>
        <w:spacing w:line="276" w:lineRule="auto"/>
        <w:jc w:val="center"/>
        <w:rPr>
          <w:b/>
          <w:sz w:val="28"/>
          <w:szCs w:val="28"/>
        </w:rPr>
      </w:pPr>
      <w:r>
        <w:rPr>
          <w:b/>
          <w:noProof/>
          <w:sz w:val="28"/>
          <w:szCs w:val="28"/>
        </w:rPr>
        <w:drawing>
          <wp:inline distT="0" distB="0" distL="0" distR="0" wp14:anchorId="0FE8650D" wp14:editId="37270572">
            <wp:extent cx="5943600" cy="1244600"/>
            <wp:effectExtent l="0" t="0" r="0" b="0"/>
            <wp:docPr id="520650083"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50083" name="Picture 1" descr="A blue text on a black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43600" cy="1244600"/>
                    </a:xfrm>
                    <a:prstGeom prst="rect">
                      <a:avLst/>
                    </a:prstGeom>
                  </pic:spPr>
                </pic:pic>
              </a:graphicData>
            </a:graphic>
          </wp:inline>
        </w:drawing>
      </w:r>
    </w:p>
    <w:p w14:paraId="0C8B6026" w14:textId="77777777" w:rsidR="00DC0ACF" w:rsidRPr="0063792C" w:rsidRDefault="00DC0ACF" w:rsidP="00DC0ACF">
      <w:pPr>
        <w:jc w:val="center"/>
        <w:rPr>
          <w:b/>
        </w:rPr>
      </w:pPr>
    </w:p>
    <w:p w14:paraId="59F454F0" w14:textId="77777777" w:rsidR="00DC0ACF" w:rsidRPr="0063792C" w:rsidRDefault="00DC0ACF" w:rsidP="00DC0ACF">
      <w:pPr>
        <w:rPr>
          <w:b/>
          <w:bCs/>
        </w:rPr>
      </w:pPr>
      <w:r w:rsidRPr="0063792C">
        <w:rPr>
          <w:b/>
          <w:bCs/>
        </w:rPr>
        <w:t>A crowdfunding investment involves risk. You should not invest any funds in this Offering unless you can afford to lose your entire investment.</w:t>
      </w:r>
    </w:p>
    <w:p w14:paraId="0D6B71CD" w14:textId="77777777" w:rsidR="00DC0ACF" w:rsidRPr="0063792C" w:rsidRDefault="00DC0ACF" w:rsidP="00DC0ACF">
      <w:pPr>
        <w:rPr>
          <w:b/>
          <w:bCs/>
        </w:rPr>
      </w:pPr>
    </w:p>
    <w:p w14:paraId="6DF98D8D" w14:textId="1562F46C" w:rsidR="00DC0ACF" w:rsidRPr="0063792C" w:rsidRDefault="00DC0ACF" w:rsidP="00DC0ACF">
      <w:pPr>
        <w:rPr>
          <w:b/>
          <w:bCs/>
        </w:rPr>
      </w:pPr>
      <w:r w:rsidRPr="0063792C">
        <w:rPr>
          <w:b/>
          <w:bCs/>
        </w:rPr>
        <w:t xml:space="preserve">In making an investment decision, </w:t>
      </w:r>
      <w:r>
        <w:rPr>
          <w:b/>
          <w:bCs/>
        </w:rPr>
        <w:t>i</w:t>
      </w:r>
      <w:r w:rsidRPr="0063792C">
        <w:rPr>
          <w:b/>
          <w:bCs/>
        </w:rPr>
        <w:t xml:space="preserve">nvestors must rely on their own examination of the </w:t>
      </w:r>
      <w:r w:rsidR="00315FDC">
        <w:rPr>
          <w:b/>
          <w:bCs/>
        </w:rPr>
        <w:t>Issuer</w:t>
      </w:r>
      <w:r w:rsidRPr="0063792C">
        <w:rPr>
          <w:b/>
          <w:bCs/>
        </w:rPr>
        <w:t xml:space="preserve"> and the terms of the Offering, including the merits and risks involved. These Securities have not been recommended or approved by any federal or state securities commission or regulatory authority. Furthermore, these authorities have not passed upon the accuracy or adequacy of this document. </w:t>
      </w:r>
    </w:p>
    <w:p w14:paraId="19B85063" w14:textId="77777777" w:rsidR="00DC0ACF" w:rsidRPr="0063792C" w:rsidRDefault="00DC0ACF" w:rsidP="00DC0ACF">
      <w:pPr>
        <w:rPr>
          <w:b/>
          <w:bCs/>
        </w:rPr>
      </w:pPr>
    </w:p>
    <w:p w14:paraId="4EF0AAAC" w14:textId="77777777" w:rsidR="00DC0ACF" w:rsidRPr="0063792C" w:rsidRDefault="00DC0ACF" w:rsidP="00DC0ACF">
      <w:pPr>
        <w:rPr>
          <w:b/>
          <w:bCs/>
        </w:rPr>
      </w:pPr>
      <w:r w:rsidRPr="0063792C">
        <w:rPr>
          <w:b/>
          <w:bCs/>
        </w:rPr>
        <w:t xml:space="preserve">The U.S. Securities and Exchange Commission does not pass upon the merits of any Securities offered or the terms of the Offering, nor does it pass upon the accuracy or completeness of any Offering document or literature. </w:t>
      </w:r>
    </w:p>
    <w:p w14:paraId="01D077FB" w14:textId="77777777" w:rsidR="00DC0ACF" w:rsidRPr="0063792C" w:rsidRDefault="00DC0ACF" w:rsidP="00DC0ACF">
      <w:pPr>
        <w:rPr>
          <w:b/>
          <w:bCs/>
        </w:rPr>
      </w:pPr>
    </w:p>
    <w:p w14:paraId="35979673" w14:textId="77777777" w:rsidR="00DC0ACF" w:rsidRPr="0063792C" w:rsidRDefault="00DC0ACF" w:rsidP="00DC0ACF">
      <w:pPr>
        <w:rPr>
          <w:b/>
          <w:bCs/>
        </w:rPr>
      </w:pPr>
      <w:r w:rsidRPr="0063792C">
        <w:rPr>
          <w:b/>
          <w:bCs/>
        </w:rPr>
        <w:t>These Securities are offered under an exemption from registration; however, the U.S. Securities and Exchange Commission has not made an independent determination that these Securities are exempt from registration.</w:t>
      </w:r>
    </w:p>
    <w:p w14:paraId="13739173" w14:textId="77777777" w:rsidR="00DC0ACF" w:rsidRPr="0063792C" w:rsidRDefault="00DC0ACF" w:rsidP="00DC0ACF"/>
    <w:p w14:paraId="539FA0D3" w14:textId="0CF20BA9" w:rsidR="00DC0ACF" w:rsidRPr="0063792C" w:rsidRDefault="00DC0ACF" w:rsidP="00DC0ACF">
      <w:pPr>
        <w:spacing w:after="240"/>
      </w:pPr>
      <w:r w:rsidRPr="0063792C">
        <w:t xml:space="preserve">THESE SECURITIES INVOLVE A HIGH DEGREE OF RISK THAT MAY NOT BE APPROPRIATE FOR ALL INVESTORS. THERE ARE ALSO SIGNIFICANT UNCERTAINTIES ASSOCIATED WITH AN INVESTMENT IN </w:t>
      </w:r>
      <w:r w:rsidR="00CE198A">
        <w:t>THIS OFFERING</w:t>
      </w:r>
      <w:r w:rsidRPr="0063792C">
        <w:t xml:space="preserve"> AND THE SECURITIES. THE SECURITIES OFFERED HEREBY ARE NOT PUBLICLY TRADED. THERE IS NO PUBLIC MARKET FOR THE SECURITIES AND ONE MAY NEVER DEVELOP. AN INVESTMENT IN </w:t>
      </w:r>
      <w:r w:rsidR="00967DA5">
        <w:t>THIS OFFERING</w:t>
      </w:r>
      <w:r w:rsidRPr="0063792C">
        <w:t xml:space="preserve"> IS HIGHLY SPECULATIVE. THE SECURITIES SHOULD NOT BE PURCHASED BY ANYONE WHO CANNOT BEAR THE FINANCIAL RISK OF THIS INVESTMENT FOR AN INDEFINITE PERIOD OF TIME AND WHO CANNOT AFFORD THE LOSS OF THEIR ENTIRE INVESTMENT. SEE THE SECTION OF THIS FORM C TITLED “</w:t>
      </w:r>
      <w:r w:rsidRPr="0063792C">
        <w:rPr>
          <w:i/>
          <w:iCs/>
        </w:rPr>
        <w:t>RISK FACTORS</w:t>
      </w:r>
      <w:r w:rsidRPr="0063792C">
        <w:t>”</w:t>
      </w:r>
      <w:r>
        <w:t>.</w:t>
      </w:r>
    </w:p>
    <w:p w14:paraId="2DE99366" w14:textId="3B69CABF" w:rsidR="00DC0ACF" w:rsidRPr="0063792C" w:rsidRDefault="00DC0ACF" w:rsidP="00DC0ACF">
      <w:pPr>
        <w:spacing w:after="240"/>
      </w:pPr>
      <w:r w:rsidRPr="0063792C">
        <w:t xml:space="preserve">THE SECURITIES OFFERED HEREBY WILL HAVE TRANSFER RESTRICTIONS. NO SECURITIES MAY BE PLEDGED, TRANSFERRED, RESOLD OR OTHERWISE DISPOSED OF BY ANY INVESTOR EXCEPT PURSUANT TO RULE 501 OF REGULATION CF. </w:t>
      </w:r>
      <w:r w:rsidR="00967DA5">
        <w:t>PROSPECT</w:t>
      </w:r>
      <w:r w:rsidR="00072B03">
        <w:t>I</w:t>
      </w:r>
      <w:r w:rsidR="00967DA5">
        <w:t>VE INVESTORS</w:t>
      </w:r>
      <w:r w:rsidR="00967DA5" w:rsidRPr="0063792C">
        <w:t xml:space="preserve"> </w:t>
      </w:r>
      <w:r w:rsidRPr="0063792C">
        <w:t xml:space="preserve">SHOULD BE AWARE THAT </w:t>
      </w:r>
      <w:r w:rsidR="00967DA5">
        <w:t>THEY</w:t>
      </w:r>
      <w:r w:rsidR="00967DA5" w:rsidRPr="0063792C">
        <w:t xml:space="preserve"> </w:t>
      </w:r>
      <w:r w:rsidRPr="0063792C">
        <w:t>WILL BE REQUIRED TO BEAR THE FINANCIAL RISKS OF THIS INVESTMENT FOR AN INDEFINITE PERIOD OF TIME.</w:t>
      </w:r>
      <w:r w:rsidRPr="00BF7043">
        <w:t xml:space="preserve"> </w:t>
      </w:r>
      <w:r>
        <w:t>THE SECURITIES MAY HAVE FURTHER TRANSFER RESTRICTIONS NOT PROVIDED FOR BY FEDERAL, STATE OR FOREIGN LAW.</w:t>
      </w:r>
    </w:p>
    <w:p w14:paraId="74C8743D" w14:textId="1B66DC13" w:rsidR="00DC0ACF" w:rsidRDefault="00967DA5" w:rsidP="00DC0ACF">
      <w:pPr>
        <w:spacing w:after="240"/>
      </w:pPr>
      <w:r>
        <w:t>NO ONE SHOULD</w:t>
      </w:r>
      <w:r w:rsidR="00DC0ACF" w:rsidRPr="0063792C">
        <w:t xml:space="preserve"> CONSTRUE THE CONTENTS OF THIS FORM C AS LEGAL, ACCOUNTING OR TAX ADVICE OR AS INFORMATION NECESSARILY APPLICABLE TO </w:t>
      </w:r>
      <w:r w:rsidR="00DC0ACF">
        <w:t>YOUR</w:t>
      </w:r>
      <w:r w:rsidR="00DC0ACF" w:rsidRPr="0063792C">
        <w:t xml:space="preserve"> PARTICULAR FINANCIAL SITUATION. EACH INVESTOR SHOULD CONSULT </w:t>
      </w:r>
      <w:r w:rsidR="00DC0ACF">
        <w:t>THEIR</w:t>
      </w:r>
      <w:r w:rsidR="00DC0ACF" w:rsidRPr="0063792C">
        <w:t xml:space="preserve"> OWN FINANCIAL ADVISER, COUNSEL AND ACCOUNTANT AS TO LEGAL, TAX AND RELATED MATTERS CONCERNING </w:t>
      </w:r>
      <w:r w:rsidR="00DC0ACF">
        <w:t>THEIR</w:t>
      </w:r>
      <w:r w:rsidR="00DC0ACF" w:rsidRPr="0063792C">
        <w:t xml:space="preserve"> INVESTMENT.</w:t>
      </w:r>
    </w:p>
    <w:p w14:paraId="49202D3D" w14:textId="6913D55D" w:rsidR="00DC0ACF" w:rsidRPr="0063792C" w:rsidRDefault="00DC0ACF" w:rsidP="00DC0ACF">
      <w:pPr>
        <w:spacing w:after="240"/>
      </w:pPr>
      <w:r w:rsidRPr="0056686E">
        <w:rPr>
          <w:caps/>
        </w:rPr>
        <w:t>This offering is only exempt from registration under the laws of the United States and its territories. No offer is being made in any jurisdiction not listed above. Prospective investors are solely responsible for determining the permissibility of their participating in this offering, including observing any other required legal formalities and seeking consent from their local regulator</w:t>
      </w:r>
      <w:r>
        <w:rPr>
          <w:caps/>
        </w:rPr>
        <w:t>,</w:t>
      </w:r>
      <w:r w:rsidRPr="0056686E">
        <w:rPr>
          <w:caps/>
        </w:rPr>
        <w:t xml:space="preserve"> if necessary. The Intermediary facilitating this Offering is licensed and registered solely in the United States and has not secured, and has not sought to secure, a license </w:t>
      </w:r>
      <w:r>
        <w:rPr>
          <w:caps/>
        </w:rPr>
        <w:t xml:space="preserve">or waiver of the need for such license </w:t>
      </w:r>
      <w:r w:rsidRPr="0056686E">
        <w:rPr>
          <w:caps/>
        </w:rPr>
        <w:t>in any other juri</w:t>
      </w:r>
      <w:r>
        <w:rPr>
          <w:caps/>
        </w:rPr>
        <w:t>s</w:t>
      </w:r>
      <w:r w:rsidRPr="0056686E">
        <w:rPr>
          <w:caps/>
        </w:rPr>
        <w:t>d</w:t>
      </w:r>
      <w:r>
        <w:rPr>
          <w:caps/>
        </w:rPr>
        <w:t>Ic</w:t>
      </w:r>
      <w:r w:rsidRPr="0056686E">
        <w:rPr>
          <w:caps/>
        </w:rPr>
        <w:t>tion.</w:t>
      </w:r>
      <w:r>
        <w:rPr>
          <w:caps/>
        </w:rPr>
        <w:t xml:space="preserve"> The </w:t>
      </w:r>
      <w:r w:rsidR="00315FDC">
        <w:rPr>
          <w:caps/>
        </w:rPr>
        <w:t>ISSUER</w:t>
      </w:r>
      <w:r>
        <w:rPr>
          <w:caps/>
        </w:rPr>
        <w:t>, the escrow agent and the Intermediary, each reserve the right to reject any investment commitment made by any prospective investor, whether foreign or domestic.</w:t>
      </w:r>
    </w:p>
    <w:p w14:paraId="3BB646F4" w14:textId="77777777" w:rsidR="002507AC" w:rsidRDefault="002507AC">
      <w:pPr>
        <w:jc w:val="left"/>
        <w:rPr>
          <w:b/>
          <w:bCs/>
        </w:rPr>
      </w:pPr>
      <w:r>
        <w:rPr>
          <w:b/>
          <w:bCs/>
        </w:rPr>
        <w:br w:type="page"/>
      </w:r>
    </w:p>
    <w:p w14:paraId="72745858" w14:textId="6F08B28A" w:rsidR="00DC0ACF" w:rsidRPr="0063792C" w:rsidRDefault="00DC0ACF" w:rsidP="00DC0ACF">
      <w:pPr>
        <w:ind w:right="-90"/>
        <w:jc w:val="center"/>
      </w:pPr>
      <w:r w:rsidRPr="0063792C">
        <w:rPr>
          <w:b/>
          <w:bCs/>
        </w:rPr>
        <w:lastRenderedPageBreak/>
        <w:t>SPECIAL NOTICE TO FOREIGN INVESTORS</w:t>
      </w:r>
    </w:p>
    <w:p w14:paraId="746E2A57" w14:textId="77777777" w:rsidR="00DC0ACF" w:rsidRPr="0063792C" w:rsidRDefault="00DC0ACF" w:rsidP="00DC0ACF"/>
    <w:p w14:paraId="415B4DE8" w14:textId="1ED66C09" w:rsidR="00DC0ACF" w:rsidRPr="0063792C" w:rsidRDefault="00967DA5" w:rsidP="00DC0ACF">
      <w:pPr>
        <w:ind w:right="-90"/>
      </w:pPr>
      <w:r>
        <w:t>INVESTORS</w:t>
      </w:r>
      <w:r w:rsidR="00DC0ACF" w:rsidRPr="0063792C">
        <w:t xml:space="preserve"> OUTSIDE </w:t>
      </w:r>
      <w:r>
        <w:t xml:space="preserve">OF </w:t>
      </w:r>
      <w:r w:rsidR="00DC0ACF" w:rsidRPr="0063792C">
        <w:t xml:space="preserve">THE UNITED STATES, </w:t>
      </w:r>
      <w:r>
        <w:t xml:space="preserve">TAKE NOTICE </w:t>
      </w:r>
      <w:r w:rsidR="00DC0ACF" w:rsidRPr="0063792C">
        <w:t xml:space="preserve">IT IS </w:t>
      </w:r>
      <w:r>
        <w:t xml:space="preserve">EACH INVESTOR’S </w:t>
      </w:r>
      <w:r w:rsidR="00DC0ACF" w:rsidRPr="0063792C">
        <w:t xml:space="preserve">RESPONSIBILITY TO FULLY OBSERVE THE LAWS OF ANY RELEVANT TERRITORY OR JURISDICTION OUTSIDE THE UNITED STATES IN CONNECTION WITH ANY PURCHASE OF THE SECURITIES, INCLUDING OBTAINING REQUIRED GOVERNMENTAL OR OTHER CONSENTS OR OBSERVING ANY OTHER REQUIRED LEGAL OR OTHER FORMALITIES. </w:t>
      </w:r>
      <w:r w:rsidR="00DC0ACF">
        <w:t>WE</w:t>
      </w:r>
      <w:r w:rsidR="00DC0ACF" w:rsidRPr="0063792C">
        <w:t xml:space="preserve"> RESERVE THE RIGHT TO DENY THE PURCHASE OF THE SECURITIES BY ANY FOREIGN INVESTOR.</w:t>
      </w:r>
    </w:p>
    <w:p w14:paraId="66C89253" w14:textId="77777777" w:rsidR="00DC0ACF" w:rsidRPr="0063792C" w:rsidRDefault="00DC0ACF" w:rsidP="00DC0ACF">
      <w:pPr>
        <w:ind w:right="-90"/>
        <w:rPr>
          <w:b/>
        </w:rPr>
      </w:pPr>
    </w:p>
    <w:p w14:paraId="3DA15A3B" w14:textId="77777777" w:rsidR="00DC0ACF" w:rsidRPr="0063792C" w:rsidRDefault="00DC0ACF" w:rsidP="00DC0ACF">
      <w:pPr>
        <w:ind w:right="-90"/>
        <w:jc w:val="center"/>
        <w:rPr>
          <w:b/>
        </w:rPr>
      </w:pPr>
      <w:r w:rsidRPr="0063792C">
        <w:rPr>
          <w:b/>
          <w:bCs/>
        </w:rPr>
        <w:t xml:space="preserve">NOTICE REGARDING </w:t>
      </w:r>
      <w:r w:rsidRPr="0063792C">
        <w:rPr>
          <w:b/>
        </w:rPr>
        <w:t>THE ESCROW AGENT</w:t>
      </w:r>
    </w:p>
    <w:p w14:paraId="720F5063" w14:textId="77777777" w:rsidR="00DC0ACF" w:rsidRPr="0063792C" w:rsidRDefault="00DC0ACF" w:rsidP="00DC0ACF">
      <w:pPr>
        <w:ind w:right="-90" w:firstLine="720"/>
        <w:rPr>
          <w:b/>
        </w:rPr>
      </w:pPr>
    </w:p>
    <w:p w14:paraId="508BE6B1" w14:textId="0BC6B781" w:rsidR="00DC0ACF" w:rsidRDefault="00DC0ACF" w:rsidP="00DC0ACF">
      <w:pPr>
        <w:rPr>
          <w:b/>
        </w:rPr>
      </w:pPr>
      <w:r w:rsidRPr="0063792C">
        <w:t>THE ESCROW AGENT SERVICING THE OFFERING HAS NOT INVESTIGATED THE DESIRABILITY OR ADVISABILITY OF AN INVESTMENT IN THIS OFFERING OR THE SECURITIES</w:t>
      </w:r>
      <w:r>
        <w:t xml:space="preserve"> </w:t>
      </w:r>
      <w:r w:rsidRPr="0063792C">
        <w:t>OFFERED</w:t>
      </w:r>
      <w:r>
        <w:t xml:space="preserve"> </w:t>
      </w:r>
      <w:r w:rsidRPr="0063792C">
        <w:t>HEREIN. THE ESCROW AGENT MAKES NO REPRESENTATIONS, WARRANTIES,</w:t>
      </w:r>
      <w:r>
        <w:t xml:space="preserve"> </w:t>
      </w:r>
      <w:r w:rsidRPr="0063792C">
        <w:t>ENDORSEMENTS, OR JUDGMENT ON THE MERITS OF THE OFFERING OR THE SECURITIES OFFERED HEREIN. THE ESCROW AGENT’S CONNECTION TO THE OFFERING IS SOLELY FOR THE LIMITED PURPOSES OF ACTING AS A SERVICE PROVIDER.</w:t>
      </w:r>
      <w:r>
        <w:t xml:space="preserve">  </w:t>
      </w:r>
    </w:p>
    <w:p w14:paraId="221DF08A" w14:textId="77777777" w:rsidR="00DC0ACF" w:rsidRDefault="00DC0ACF" w:rsidP="00DC0ACF"/>
    <w:p w14:paraId="71A1A89C" w14:textId="77777777" w:rsidR="00DC0ACF" w:rsidRPr="0063792C" w:rsidRDefault="00DC0ACF" w:rsidP="00DC0ACF"/>
    <w:p w14:paraId="61CE57A4" w14:textId="05906596" w:rsidR="00461F68" w:rsidRDefault="00461F68">
      <w:pPr>
        <w:jc w:val="left"/>
      </w:pPr>
      <w:r>
        <w:br w:type="page"/>
      </w:r>
    </w:p>
    <w:p w14:paraId="44E48DB3" w14:textId="77777777" w:rsidR="00DC0ACF" w:rsidRDefault="00DC0ACF" w:rsidP="00DC0ACF">
      <w:pPr>
        <w:spacing w:before="70" w:after="70"/>
        <w:jc w:val="center"/>
        <w:rPr>
          <w:sz w:val="18"/>
          <w:szCs w:val="18"/>
        </w:rPr>
      </w:pPr>
    </w:p>
    <w:p w14:paraId="0F1CD4C9" w14:textId="77777777" w:rsidR="00DC0ACF" w:rsidRPr="00EF6F07" w:rsidRDefault="00DC0ACF" w:rsidP="00DC0ACF">
      <w:pPr>
        <w:spacing w:before="70" w:after="70"/>
        <w:jc w:val="center"/>
      </w:pPr>
      <w:r w:rsidRPr="00EF6F07">
        <w:t>TABLE OF CONTENTS</w:t>
      </w:r>
    </w:p>
    <w:p w14:paraId="2C5E8DE5" w14:textId="0BB89D42" w:rsidR="0026647F" w:rsidRDefault="0026647F" w:rsidP="00C37F32">
      <w:pPr>
        <w:pStyle w:val="TOC1"/>
        <w:rPr>
          <w:rFonts w:asciiTheme="minorHAnsi" w:eastAsiaTheme="minorEastAsia" w:hAnsiTheme="minorHAnsi" w:cstheme="minorBidi"/>
          <w:noProof/>
          <w:sz w:val="24"/>
          <w:szCs w:val="24"/>
        </w:rPr>
      </w:pPr>
      <w:r w:rsidRPr="00863813">
        <w:rPr>
          <w:noProof/>
        </w:rPr>
        <w:t>ABOUT THIS FORM C</w:t>
      </w:r>
      <w:r>
        <w:rPr>
          <w:noProof/>
          <w:webHidden/>
        </w:rPr>
        <w:tab/>
      </w:r>
      <w:r w:rsidR="009E6D97">
        <w:rPr>
          <w:noProof/>
          <w:webHidden/>
        </w:rPr>
        <w:t>i</w:t>
      </w:r>
    </w:p>
    <w:p w14:paraId="42764EAD" w14:textId="1A00E80A" w:rsidR="0026647F" w:rsidRDefault="0026647F" w:rsidP="00C37F32">
      <w:pPr>
        <w:pStyle w:val="TOC1"/>
        <w:rPr>
          <w:rFonts w:asciiTheme="minorHAnsi" w:eastAsiaTheme="minorEastAsia" w:hAnsiTheme="minorHAnsi" w:cstheme="minorBidi"/>
          <w:noProof/>
          <w:sz w:val="24"/>
          <w:szCs w:val="24"/>
        </w:rPr>
      </w:pPr>
      <w:r w:rsidRPr="00863813">
        <w:rPr>
          <w:noProof/>
        </w:rPr>
        <w:t>CAUTIONARY NOTE CONCERNING FORWARD-LOOKING STATEMENTS</w:t>
      </w:r>
      <w:r>
        <w:rPr>
          <w:noProof/>
          <w:webHidden/>
        </w:rPr>
        <w:tab/>
      </w:r>
      <w:r w:rsidR="009E6D97">
        <w:rPr>
          <w:noProof/>
          <w:webHidden/>
        </w:rPr>
        <w:t>i</w:t>
      </w:r>
    </w:p>
    <w:p w14:paraId="4FB51D6F" w14:textId="2E7F4509" w:rsidR="0026647F" w:rsidRDefault="0026647F" w:rsidP="00C37F32">
      <w:pPr>
        <w:pStyle w:val="TOC1"/>
        <w:rPr>
          <w:rFonts w:asciiTheme="minorHAnsi" w:eastAsiaTheme="minorEastAsia" w:hAnsiTheme="minorHAnsi" w:cstheme="minorBidi"/>
          <w:noProof/>
          <w:sz w:val="24"/>
          <w:szCs w:val="24"/>
        </w:rPr>
      </w:pPr>
      <w:r w:rsidRPr="00863813">
        <w:rPr>
          <w:noProof/>
        </w:rPr>
        <w:t>THE OFFERING AND THE SECURITIES</w:t>
      </w:r>
      <w:r>
        <w:rPr>
          <w:noProof/>
          <w:webHidden/>
        </w:rPr>
        <w:tab/>
      </w:r>
      <w:r w:rsidR="009E6D97">
        <w:rPr>
          <w:noProof/>
          <w:webHidden/>
        </w:rPr>
        <w:t>1</w:t>
      </w:r>
    </w:p>
    <w:p w14:paraId="72371C50" w14:textId="0D55C0D9" w:rsidR="0026647F" w:rsidRDefault="0026647F">
      <w:pPr>
        <w:pStyle w:val="TOC2"/>
        <w:rPr>
          <w:rFonts w:asciiTheme="minorHAnsi" w:eastAsiaTheme="minorEastAsia" w:hAnsiTheme="minorHAnsi" w:cstheme="minorBidi"/>
          <w:noProof/>
          <w:sz w:val="24"/>
          <w:szCs w:val="24"/>
        </w:rPr>
      </w:pPr>
      <w:r w:rsidRPr="00863813">
        <w:rPr>
          <w:noProof/>
        </w:rPr>
        <w:t>The Offering</w:t>
      </w:r>
      <w:r>
        <w:rPr>
          <w:noProof/>
          <w:webHidden/>
        </w:rPr>
        <w:tab/>
      </w:r>
      <w:r w:rsidR="009E6D97">
        <w:rPr>
          <w:noProof/>
          <w:webHidden/>
        </w:rPr>
        <w:t>1</w:t>
      </w:r>
    </w:p>
    <w:p w14:paraId="474625F8" w14:textId="033A59CA" w:rsidR="0026647F" w:rsidRDefault="0026647F">
      <w:pPr>
        <w:pStyle w:val="TOC2"/>
        <w:rPr>
          <w:rFonts w:asciiTheme="minorHAnsi" w:eastAsiaTheme="minorEastAsia" w:hAnsiTheme="minorHAnsi" w:cstheme="minorBidi"/>
          <w:noProof/>
          <w:sz w:val="24"/>
          <w:szCs w:val="24"/>
        </w:rPr>
      </w:pPr>
      <w:r w:rsidRPr="00863813">
        <w:rPr>
          <w:noProof/>
        </w:rPr>
        <w:t>The Deal Page</w:t>
      </w:r>
      <w:r>
        <w:rPr>
          <w:noProof/>
          <w:webHidden/>
        </w:rPr>
        <w:tab/>
      </w:r>
      <w:r w:rsidR="009E6D97">
        <w:rPr>
          <w:noProof/>
          <w:webHidden/>
        </w:rPr>
        <w:t>1</w:t>
      </w:r>
    </w:p>
    <w:p w14:paraId="692B6D23" w14:textId="7FC4FDFD" w:rsidR="0026647F" w:rsidRDefault="0026647F">
      <w:pPr>
        <w:pStyle w:val="TOC2"/>
        <w:rPr>
          <w:rFonts w:asciiTheme="minorHAnsi" w:eastAsiaTheme="minorEastAsia" w:hAnsiTheme="minorHAnsi" w:cstheme="minorBidi"/>
          <w:noProof/>
          <w:sz w:val="24"/>
          <w:szCs w:val="24"/>
        </w:rPr>
      </w:pPr>
      <w:r w:rsidRPr="00863813">
        <w:rPr>
          <w:noProof/>
        </w:rPr>
        <w:t>The Securities</w:t>
      </w:r>
      <w:r>
        <w:rPr>
          <w:noProof/>
          <w:webHidden/>
        </w:rPr>
        <w:tab/>
      </w:r>
      <w:r w:rsidR="009E6D97">
        <w:rPr>
          <w:noProof/>
          <w:webHidden/>
        </w:rPr>
        <w:t>2</w:t>
      </w:r>
    </w:p>
    <w:p w14:paraId="1AFDCAE6" w14:textId="7563C3F2" w:rsidR="0026647F" w:rsidRDefault="0026647F" w:rsidP="00C37F32">
      <w:pPr>
        <w:pStyle w:val="TOC1"/>
        <w:rPr>
          <w:rFonts w:asciiTheme="minorHAnsi" w:eastAsiaTheme="minorEastAsia" w:hAnsiTheme="minorHAnsi" w:cstheme="minorBidi"/>
          <w:noProof/>
          <w:sz w:val="24"/>
          <w:szCs w:val="24"/>
        </w:rPr>
      </w:pPr>
      <w:r w:rsidRPr="00863813">
        <w:rPr>
          <w:noProof/>
        </w:rPr>
        <w:t>COMMISSION AND FEES</w:t>
      </w:r>
      <w:r>
        <w:rPr>
          <w:noProof/>
          <w:webHidden/>
        </w:rPr>
        <w:tab/>
      </w:r>
      <w:r w:rsidR="009E6D97">
        <w:rPr>
          <w:noProof/>
          <w:webHidden/>
        </w:rPr>
        <w:t>6</w:t>
      </w:r>
    </w:p>
    <w:p w14:paraId="155DA72F" w14:textId="1B9E1207" w:rsidR="0026647F" w:rsidRDefault="0026647F">
      <w:pPr>
        <w:pStyle w:val="TOC2"/>
        <w:rPr>
          <w:rFonts w:asciiTheme="minorHAnsi" w:eastAsiaTheme="minorEastAsia" w:hAnsiTheme="minorHAnsi" w:cstheme="minorBidi"/>
          <w:noProof/>
          <w:sz w:val="24"/>
          <w:szCs w:val="24"/>
        </w:rPr>
      </w:pPr>
      <w:r w:rsidRPr="00863813">
        <w:rPr>
          <w:noProof/>
        </w:rPr>
        <w:t>Other Compensation</w:t>
      </w:r>
      <w:r>
        <w:rPr>
          <w:noProof/>
          <w:webHidden/>
        </w:rPr>
        <w:tab/>
      </w:r>
      <w:r w:rsidR="009E6D97">
        <w:rPr>
          <w:noProof/>
          <w:webHidden/>
        </w:rPr>
        <w:t>6</w:t>
      </w:r>
    </w:p>
    <w:p w14:paraId="44E37072" w14:textId="13DDD5E9" w:rsidR="0026647F" w:rsidRDefault="0026647F" w:rsidP="00C37F32">
      <w:pPr>
        <w:pStyle w:val="TOC1"/>
        <w:rPr>
          <w:rFonts w:asciiTheme="minorHAnsi" w:eastAsiaTheme="minorEastAsia" w:hAnsiTheme="minorHAnsi" w:cstheme="minorBidi"/>
          <w:noProof/>
          <w:sz w:val="24"/>
          <w:szCs w:val="24"/>
        </w:rPr>
      </w:pPr>
      <w:r w:rsidRPr="00863813">
        <w:rPr>
          <w:noProof/>
        </w:rPr>
        <w:t>RISK FACTORS</w:t>
      </w:r>
      <w:r>
        <w:rPr>
          <w:noProof/>
          <w:webHidden/>
        </w:rPr>
        <w:tab/>
      </w:r>
      <w:r w:rsidR="009E6D97">
        <w:rPr>
          <w:noProof/>
          <w:webHidden/>
        </w:rPr>
        <w:t>6</w:t>
      </w:r>
    </w:p>
    <w:p w14:paraId="645D8BFF" w14:textId="56446033" w:rsidR="0026647F" w:rsidRDefault="0026647F">
      <w:pPr>
        <w:pStyle w:val="TOC2"/>
        <w:rPr>
          <w:rFonts w:asciiTheme="minorHAnsi" w:eastAsiaTheme="minorEastAsia" w:hAnsiTheme="minorHAnsi" w:cstheme="minorBidi"/>
          <w:noProof/>
          <w:sz w:val="24"/>
          <w:szCs w:val="24"/>
        </w:rPr>
      </w:pPr>
      <w:r w:rsidRPr="00863813">
        <w:rPr>
          <w:noProof/>
        </w:rPr>
        <w:t xml:space="preserve">Risks Related to the </w:t>
      </w:r>
      <w:r w:rsidR="00315FDC">
        <w:rPr>
          <w:noProof/>
        </w:rPr>
        <w:t xml:space="preserve">Issuer’s </w:t>
      </w:r>
      <w:r w:rsidRPr="00863813">
        <w:rPr>
          <w:noProof/>
        </w:rPr>
        <w:t>Business and Industry</w:t>
      </w:r>
      <w:r>
        <w:rPr>
          <w:noProof/>
          <w:webHidden/>
        </w:rPr>
        <w:tab/>
      </w:r>
      <w:r w:rsidR="009E6D97">
        <w:rPr>
          <w:noProof/>
          <w:webHidden/>
        </w:rPr>
        <w:t>6</w:t>
      </w:r>
    </w:p>
    <w:p w14:paraId="73D09385" w14:textId="6CA6A336" w:rsidR="0026647F" w:rsidRDefault="0026647F">
      <w:pPr>
        <w:pStyle w:val="TOC2"/>
        <w:rPr>
          <w:rFonts w:asciiTheme="minorHAnsi" w:eastAsiaTheme="minorEastAsia" w:hAnsiTheme="minorHAnsi" w:cstheme="minorBidi"/>
          <w:noProof/>
          <w:sz w:val="24"/>
          <w:szCs w:val="24"/>
        </w:rPr>
      </w:pPr>
      <w:r w:rsidRPr="00863813">
        <w:rPr>
          <w:noProof/>
        </w:rPr>
        <w:t>Risks Related to the Offering</w:t>
      </w:r>
      <w:r>
        <w:rPr>
          <w:noProof/>
          <w:webHidden/>
        </w:rPr>
        <w:tab/>
      </w:r>
      <w:r w:rsidR="000E1AC8">
        <w:rPr>
          <w:noProof/>
          <w:webHidden/>
        </w:rPr>
        <w:t>11</w:t>
      </w:r>
    </w:p>
    <w:p w14:paraId="23B84603" w14:textId="00525D2C" w:rsidR="0026647F" w:rsidRDefault="0026647F">
      <w:pPr>
        <w:pStyle w:val="TOC2"/>
        <w:rPr>
          <w:rFonts w:asciiTheme="minorHAnsi" w:eastAsiaTheme="minorEastAsia" w:hAnsiTheme="minorHAnsi" w:cstheme="minorBidi"/>
          <w:noProof/>
          <w:sz w:val="24"/>
          <w:szCs w:val="24"/>
        </w:rPr>
      </w:pPr>
      <w:r w:rsidRPr="00863813">
        <w:rPr>
          <w:noProof/>
        </w:rPr>
        <w:t>Risks Related to the Securities</w:t>
      </w:r>
      <w:r>
        <w:rPr>
          <w:noProof/>
          <w:webHidden/>
        </w:rPr>
        <w:tab/>
      </w:r>
      <w:r w:rsidR="009E6D97">
        <w:rPr>
          <w:noProof/>
          <w:webHidden/>
        </w:rPr>
        <w:t>1</w:t>
      </w:r>
      <w:r w:rsidR="000E1AC8">
        <w:rPr>
          <w:noProof/>
          <w:webHidden/>
        </w:rPr>
        <w:t>3</w:t>
      </w:r>
    </w:p>
    <w:p w14:paraId="2531A45B" w14:textId="3D638966" w:rsidR="00C37F32" w:rsidRDefault="00C37F32" w:rsidP="00C37F32">
      <w:pPr>
        <w:pStyle w:val="TOC1"/>
        <w:rPr>
          <w:rFonts w:asciiTheme="minorHAnsi" w:eastAsiaTheme="minorEastAsia" w:hAnsiTheme="minorHAnsi" w:cstheme="minorBidi"/>
          <w:noProof/>
          <w:sz w:val="24"/>
          <w:szCs w:val="24"/>
        </w:rPr>
      </w:pPr>
      <w:r>
        <w:t>BUSINESS</w:t>
      </w:r>
      <w:r>
        <w:rPr>
          <w:noProof/>
          <w:webHidden/>
        </w:rPr>
        <w:tab/>
        <w:t>1</w:t>
      </w:r>
      <w:r w:rsidR="000E1AC8">
        <w:rPr>
          <w:noProof/>
          <w:webHidden/>
        </w:rPr>
        <w:t>6</w:t>
      </w:r>
    </w:p>
    <w:p w14:paraId="34FE43EF" w14:textId="18F22169" w:rsidR="0026647F" w:rsidRDefault="0026647F">
      <w:pPr>
        <w:pStyle w:val="TOC2"/>
        <w:rPr>
          <w:rFonts w:asciiTheme="minorHAnsi" w:eastAsiaTheme="minorEastAsia" w:hAnsiTheme="minorHAnsi" w:cstheme="minorBidi"/>
          <w:noProof/>
          <w:sz w:val="24"/>
          <w:szCs w:val="24"/>
        </w:rPr>
      </w:pPr>
      <w:r w:rsidRPr="00863813">
        <w:rPr>
          <w:noProof/>
        </w:rPr>
        <w:t>Description of the Business</w:t>
      </w:r>
      <w:r>
        <w:rPr>
          <w:noProof/>
          <w:webHidden/>
        </w:rPr>
        <w:tab/>
      </w:r>
      <w:r w:rsidR="009E6D97">
        <w:rPr>
          <w:noProof/>
          <w:webHidden/>
        </w:rPr>
        <w:t>1</w:t>
      </w:r>
      <w:r w:rsidR="000E1AC8">
        <w:rPr>
          <w:noProof/>
          <w:webHidden/>
        </w:rPr>
        <w:t>6</w:t>
      </w:r>
    </w:p>
    <w:p w14:paraId="1980F561" w14:textId="529BD677" w:rsidR="0026647F" w:rsidRDefault="0026647F">
      <w:pPr>
        <w:pStyle w:val="TOC2"/>
        <w:rPr>
          <w:rFonts w:asciiTheme="minorHAnsi" w:eastAsiaTheme="minorEastAsia" w:hAnsiTheme="minorHAnsi" w:cstheme="minorBidi"/>
          <w:noProof/>
          <w:sz w:val="24"/>
          <w:szCs w:val="24"/>
        </w:rPr>
      </w:pPr>
      <w:r w:rsidRPr="00863813">
        <w:rPr>
          <w:noProof/>
        </w:rPr>
        <w:t>Business Plan</w:t>
      </w:r>
      <w:r>
        <w:rPr>
          <w:noProof/>
          <w:webHidden/>
        </w:rPr>
        <w:tab/>
      </w:r>
      <w:r w:rsidR="009E6D97">
        <w:rPr>
          <w:noProof/>
          <w:webHidden/>
        </w:rPr>
        <w:t>1</w:t>
      </w:r>
      <w:r w:rsidR="000E1AC8">
        <w:rPr>
          <w:noProof/>
          <w:webHidden/>
        </w:rPr>
        <w:t>6</w:t>
      </w:r>
    </w:p>
    <w:p w14:paraId="03523DA5" w14:textId="4C417142" w:rsidR="0026647F" w:rsidRDefault="0026647F">
      <w:pPr>
        <w:pStyle w:val="TOC2"/>
        <w:rPr>
          <w:rFonts w:asciiTheme="minorHAnsi" w:eastAsiaTheme="minorEastAsia" w:hAnsiTheme="minorHAnsi" w:cstheme="minorBidi"/>
          <w:noProof/>
          <w:sz w:val="24"/>
          <w:szCs w:val="24"/>
        </w:rPr>
      </w:pPr>
      <w:r w:rsidRPr="00863813">
        <w:rPr>
          <w:noProof/>
        </w:rPr>
        <w:t xml:space="preserve">The </w:t>
      </w:r>
      <w:r w:rsidR="00315FDC">
        <w:rPr>
          <w:noProof/>
        </w:rPr>
        <w:t>Issuer</w:t>
      </w:r>
      <w:r w:rsidRPr="00863813">
        <w:rPr>
          <w:noProof/>
        </w:rPr>
        <w:t>’s Products and/or Services</w:t>
      </w:r>
      <w:r>
        <w:rPr>
          <w:noProof/>
          <w:webHidden/>
        </w:rPr>
        <w:tab/>
      </w:r>
      <w:r w:rsidR="009E6D97">
        <w:rPr>
          <w:noProof/>
          <w:webHidden/>
        </w:rPr>
        <w:t>1</w:t>
      </w:r>
      <w:r w:rsidR="000E1AC8">
        <w:rPr>
          <w:noProof/>
          <w:webHidden/>
        </w:rPr>
        <w:t>6</w:t>
      </w:r>
    </w:p>
    <w:p w14:paraId="05138749" w14:textId="25BC97F3" w:rsidR="0026647F" w:rsidRDefault="0026647F">
      <w:pPr>
        <w:pStyle w:val="TOC2"/>
        <w:rPr>
          <w:rFonts w:asciiTheme="minorHAnsi" w:eastAsiaTheme="minorEastAsia" w:hAnsiTheme="minorHAnsi" w:cstheme="minorBidi"/>
          <w:noProof/>
          <w:sz w:val="24"/>
          <w:szCs w:val="24"/>
        </w:rPr>
      </w:pPr>
      <w:r w:rsidRPr="00863813">
        <w:rPr>
          <w:noProof/>
        </w:rPr>
        <w:t>Competition</w:t>
      </w:r>
      <w:r>
        <w:rPr>
          <w:noProof/>
          <w:webHidden/>
        </w:rPr>
        <w:tab/>
      </w:r>
      <w:r w:rsidR="009E6D97">
        <w:rPr>
          <w:noProof/>
          <w:webHidden/>
        </w:rPr>
        <w:t>1</w:t>
      </w:r>
      <w:r w:rsidR="000E1AC8">
        <w:rPr>
          <w:noProof/>
          <w:webHidden/>
        </w:rPr>
        <w:t>6</w:t>
      </w:r>
    </w:p>
    <w:p w14:paraId="5939B2AB" w14:textId="6698D142" w:rsidR="0026647F" w:rsidRDefault="0026647F">
      <w:pPr>
        <w:pStyle w:val="TOC2"/>
        <w:rPr>
          <w:rFonts w:asciiTheme="minorHAnsi" w:eastAsiaTheme="minorEastAsia" w:hAnsiTheme="minorHAnsi" w:cstheme="minorBidi"/>
          <w:noProof/>
          <w:sz w:val="24"/>
          <w:szCs w:val="24"/>
        </w:rPr>
      </w:pPr>
      <w:r w:rsidRPr="00863813">
        <w:rPr>
          <w:noProof/>
        </w:rPr>
        <w:t>Customer Base</w:t>
      </w:r>
      <w:r>
        <w:rPr>
          <w:noProof/>
          <w:webHidden/>
        </w:rPr>
        <w:tab/>
      </w:r>
      <w:r w:rsidR="009E6D97">
        <w:rPr>
          <w:noProof/>
          <w:webHidden/>
        </w:rPr>
        <w:t>1</w:t>
      </w:r>
      <w:r w:rsidR="000E1AC8">
        <w:rPr>
          <w:noProof/>
          <w:webHidden/>
        </w:rPr>
        <w:t>6</w:t>
      </w:r>
    </w:p>
    <w:p w14:paraId="15882EF8" w14:textId="07A24F29" w:rsidR="0026647F" w:rsidRDefault="0026647F">
      <w:pPr>
        <w:pStyle w:val="TOC2"/>
        <w:rPr>
          <w:rFonts w:asciiTheme="minorHAnsi" w:eastAsiaTheme="minorEastAsia" w:hAnsiTheme="minorHAnsi" w:cstheme="minorBidi"/>
          <w:noProof/>
          <w:sz w:val="24"/>
          <w:szCs w:val="24"/>
        </w:rPr>
      </w:pPr>
      <w:r w:rsidRPr="00863813">
        <w:rPr>
          <w:noProof/>
        </w:rPr>
        <w:t>Intellectual Property</w:t>
      </w:r>
      <w:r>
        <w:rPr>
          <w:noProof/>
          <w:webHidden/>
        </w:rPr>
        <w:tab/>
      </w:r>
      <w:r w:rsidR="009E6D97">
        <w:rPr>
          <w:noProof/>
          <w:webHidden/>
        </w:rPr>
        <w:t>1</w:t>
      </w:r>
      <w:r w:rsidR="000E1AC8">
        <w:rPr>
          <w:noProof/>
          <w:webHidden/>
        </w:rPr>
        <w:t>7</w:t>
      </w:r>
    </w:p>
    <w:p w14:paraId="247E9705" w14:textId="0122890D" w:rsidR="0026647F" w:rsidRDefault="0026647F">
      <w:pPr>
        <w:pStyle w:val="TOC2"/>
        <w:rPr>
          <w:rFonts w:asciiTheme="minorHAnsi" w:eastAsiaTheme="minorEastAsia" w:hAnsiTheme="minorHAnsi" w:cstheme="minorBidi"/>
          <w:noProof/>
          <w:sz w:val="24"/>
          <w:szCs w:val="24"/>
        </w:rPr>
      </w:pPr>
      <w:r w:rsidRPr="00863813">
        <w:rPr>
          <w:noProof/>
        </w:rPr>
        <w:t>Governmental/Regulatory Approval and Compliance</w:t>
      </w:r>
      <w:r>
        <w:rPr>
          <w:noProof/>
          <w:webHidden/>
        </w:rPr>
        <w:tab/>
      </w:r>
      <w:r w:rsidR="009E6D97">
        <w:rPr>
          <w:noProof/>
          <w:webHidden/>
        </w:rPr>
        <w:t>1</w:t>
      </w:r>
      <w:r w:rsidR="000E1AC8">
        <w:rPr>
          <w:noProof/>
          <w:webHidden/>
        </w:rPr>
        <w:t>7</w:t>
      </w:r>
    </w:p>
    <w:p w14:paraId="277453C4" w14:textId="33BDF2B0" w:rsidR="0026647F" w:rsidRDefault="0026647F">
      <w:pPr>
        <w:pStyle w:val="TOC2"/>
        <w:rPr>
          <w:rFonts w:asciiTheme="minorHAnsi" w:eastAsiaTheme="minorEastAsia" w:hAnsiTheme="minorHAnsi" w:cstheme="minorBidi"/>
          <w:noProof/>
          <w:sz w:val="24"/>
          <w:szCs w:val="24"/>
        </w:rPr>
      </w:pPr>
      <w:r w:rsidRPr="00863813">
        <w:rPr>
          <w:noProof/>
        </w:rPr>
        <w:t>Litigation</w:t>
      </w:r>
      <w:r>
        <w:rPr>
          <w:noProof/>
          <w:webHidden/>
        </w:rPr>
        <w:tab/>
      </w:r>
      <w:r w:rsidR="009E6D97">
        <w:rPr>
          <w:noProof/>
          <w:webHidden/>
        </w:rPr>
        <w:t>1</w:t>
      </w:r>
      <w:r w:rsidR="000E1AC8">
        <w:rPr>
          <w:noProof/>
          <w:webHidden/>
        </w:rPr>
        <w:t>7</w:t>
      </w:r>
    </w:p>
    <w:p w14:paraId="34BE3B7A" w14:textId="3369F984" w:rsidR="0026647F" w:rsidRDefault="0026647F" w:rsidP="00C37F32">
      <w:pPr>
        <w:pStyle w:val="TOC1"/>
        <w:rPr>
          <w:rFonts w:asciiTheme="minorHAnsi" w:eastAsiaTheme="minorEastAsia" w:hAnsiTheme="minorHAnsi" w:cstheme="minorBidi"/>
          <w:noProof/>
          <w:sz w:val="24"/>
          <w:szCs w:val="24"/>
        </w:rPr>
      </w:pPr>
      <w:r w:rsidRPr="00863813">
        <w:rPr>
          <w:noProof/>
        </w:rPr>
        <w:t>USE OF PROCEEDS</w:t>
      </w:r>
      <w:r>
        <w:rPr>
          <w:noProof/>
          <w:webHidden/>
        </w:rPr>
        <w:tab/>
      </w:r>
      <w:r w:rsidR="009E6D97">
        <w:rPr>
          <w:noProof/>
          <w:webHidden/>
        </w:rPr>
        <w:t>1</w:t>
      </w:r>
      <w:r w:rsidR="000E1AC8">
        <w:rPr>
          <w:noProof/>
          <w:webHidden/>
        </w:rPr>
        <w:t>8</w:t>
      </w:r>
    </w:p>
    <w:p w14:paraId="00FC96C8" w14:textId="2D8127AD" w:rsidR="0026647F" w:rsidRDefault="0026647F" w:rsidP="00C37F32">
      <w:pPr>
        <w:pStyle w:val="TOC1"/>
        <w:rPr>
          <w:rFonts w:asciiTheme="minorHAnsi" w:eastAsiaTheme="minorEastAsia" w:hAnsiTheme="minorHAnsi" w:cstheme="minorBidi"/>
          <w:noProof/>
          <w:sz w:val="24"/>
          <w:szCs w:val="24"/>
        </w:rPr>
      </w:pPr>
      <w:r w:rsidRPr="00863813">
        <w:rPr>
          <w:noProof/>
        </w:rPr>
        <w:t>DIRECTORS, OFFICERS, MANAGERS, AND KEY PERSONS</w:t>
      </w:r>
      <w:r>
        <w:rPr>
          <w:noProof/>
          <w:webHidden/>
        </w:rPr>
        <w:tab/>
      </w:r>
      <w:r w:rsidR="009E6D97">
        <w:rPr>
          <w:noProof/>
          <w:webHidden/>
        </w:rPr>
        <w:t>1</w:t>
      </w:r>
      <w:r w:rsidR="000E1AC8">
        <w:rPr>
          <w:noProof/>
          <w:webHidden/>
        </w:rPr>
        <w:t>9</w:t>
      </w:r>
    </w:p>
    <w:p w14:paraId="753139DD" w14:textId="23CDC88C" w:rsidR="0026647F" w:rsidRDefault="0026647F">
      <w:pPr>
        <w:pStyle w:val="TOC2"/>
        <w:rPr>
          <w:rFonts w:asciiTheme="minorHAnsi" w:eastAsiaTheme="minorEastAsia" w:hAnsiTheme="minorHAnsi" w:cstheme="minorBidi"/>
          <w:noProof/>
          <w:sz w:val="24"/>
          <w:szCs w:val="24"/>
        </w:rPr>
      </w:pPr>
      <w:r w:rsidRPr="00863813">
        <w:rPr>
          <w:noProof/>
        </w:rPr>
        <w:t>Biographical Information</w:t>
      </w:r>
      <w:r>
        <w:rPr>
          <w:noProof/>
          <w:webHidden/>
        </w:rPr>
        <w:tab/>
      </w:r>
      <w:r w:rsidR="009E6D97">
        <w:rPr>
          <w:noProof/>
          <w:webHidden/>
        </w:rPr>
        <w:t>1</w:t>
      </w:r>
      <w:r w:rsidR="000E1AC8">
        <w:rPr>
          <w:noProof/>
          <w:webHidden/>
        </w:rPr>
        <w:t>9</w:t>
      </w:r>
    </w:p>
    <w:p w14:paraId="7C85D0DD" w14:textId="3C8B578E" w:rsidR="0026647F" w:rsidRDefault="0026647F">
      <w:pPr>
        <w:pStyle w:val="TOC2"/>
        <w:rPr>
          <w:rFonts w:asciiTheme="minorHAnsi" w:eastAsiaTheme="minorEastAsia" w:hAnsiTheme="minorHAnsi" w:cstheme="minorBidi"/>
          <w:noProof/>
          <w:sz w:val="24"/>
          <w:szCs w:val="24"/>
        </w:rPr>
      </w:pPr>
      <w:r w:rsidRPr="00863813">
        <w:rPr>
          <w:noProof/>
        </w:rPr>
        <w:t>Indemnification</w:t>
      </w:r>
      <w:r>
        <w:rPr>
          <w:noProof/>
          <w:webHidden/>
        </w:rPr>
        <w:tab/>
      </w:r>
      <w:r w:rsidR="009E6D97">
        <w:rPr>
          <w:noProof/>
          <w:webHidden/>
        </w:rPr>
        <w:t>1</w:t>
      </w:r>
      <w:r w:rsidR="000E1AC8">
        <w:rPr>
          <w:noProof/>
          <w:webHidden/>
        </w:rPr>
        <w:t>9</w:t>
      </w:r>
    </w:p>
    <w:p w14:paraId="34AAA426" w14:textId="74F800AD" w:rsidR="0026647F" w:rsidRDefault="0026647F" w:rsidP="00C37F32">
      <w:pPr>
        <w:pStyle w:val="TOC1"/>
        <w:rPr>
          <w:rFonts w:asciiTheme="minorHAnsi" w:eastAsiaTheme="minorEastAsia" w:hAnsiTheme="minorHAnsi" w:cstheme="minorBidi"/>
          <w:noProof/>
          <w:sz w:val="24"/>
          <w:szCs w:val="24"/>
        </w:rPr>
      </w:pPr>
      <w:r w:rsidRPr="00863813">
        <w:rPr>
          <w:noProof/>
        </w:rPr>
        <w:t>CAPITALIZATION, DEBT AND OWNERSHIP</w:t>
      </w:r>
      <w:r>
        <w:rPr>
          <w:noProof/>
          <w:webHidden/>
        </w:rPr>
        <w:tab/>
      </w:r>
      <w:r w:rsidR="000E1AC8">
        <w:rPr>
          <w:noProof/>
          <w:webHidden/>
        </w:rPr>
        <w:t>20</w:t>
      </w:r>
    </w:p>
    <w:p w14:paraId="11681502" w14:textId="522EE4F9" w:rsidR="0026647F" w:rsidRDefault="0026647F">
      <w:pPr>
        <w:pStyle w:val="TOC2"/>
        <w:rPr>
          <w:rFonts w:asciiTheme="minorHAnsi" w:eastAsiaTheme="minorEastAsia" w:hAnsiTheme="minorHAnsi" w:cstheme="minorBidi"/>
          <w:noProof/>
          <w:sz w:val="24"/>
          <w:szCs w:val="24"/>
        </w:rPr>
      </w:pPr>
      <w:r w:rsidRPr="00863813">
        <w:rPr>
          <w:noProof/>
        </w:rPr>
        <w:t>Capitalization</w:t>
      </w:r>
      <w:r>
        <w:rPr>
          <w:noProof/>
          <w:webHidden/>
        </w:rPr>
        <w:tab/>
      </w:r>
      <w:r w:rsidR="000E1AC8">
        <w:rPr>
          <w:noProof/>
          <w:webHidden/>
        </w:rPr>
        <w:t>20</w:t>
      </w:r>
    </w:p>
    <w:p w14:paraId="60FAA0FA" w14:textId="4C36CA07" w:rsidR="0026647F" w:rsidRDefault="0026647F">
      <w:pPr>
        <w:pStyle w:val="TOC2"/>
        <w:rPr>
          <w:rFonts w:asciiTheme="minorHAnsi" w:eastAsiaTheme="minorEastAsia" w:hAnsiTheme="minorHAnsi" w:cstheme="minorBidi"/>
          <w:noProof/>
          <w:sz w:val="24"/>
          <w:szCs w:val="24"/>
        </w:rPr>
      </w:pPr>
      <w:r w:rsidRPr="00863813">
        <w:rPr>
          <w:noProof/>
        </w:rPr>
        <w:t>Outstanding Debt</w:t>
      </w:r>
      <w:r>
        <w:rPr>
          <w:noProof/>
          <w:webHidden/>
        </w:rPr>
        <w:tab/>
      </w:r>
      <w:r w:rsidR="000E1AC8">
        <w:rPr>
          <w:noProof/>
          <w:webHidden/>
        </w:rPr>
        <w:t>2</w:t>
      </w:r>
      <w:r w:rsidR="000C4551">
        <w:rPr>
          <w:noProof/>
          <w:webHidden/>
        </w:rPr>
        <w:t>5</w:t>
      </w:r>
    </w:p>
    <w:p w14:paraId="09FE79F4" w14:textId="6D03DEAE" w:rsidR="0026647F" w:rsidRDefault="0026647F">
      <w:pPr>
        <w:pStyle w:val="TOC2"/>
        <w:rPr>
          <w:rFonts w:asciiTheme="minorHAnsi" w:eastAsiaTheme="minorEastAsia" w:hAnsiTheme="minorHAnsi" w:cstheme="minorBidi"/>
          <w:noProof/>
          <w:sz w:val="24"/>
          <w:szCs w:val="24"/>
        </w:rPr>
      </w:pPr>
      <w:r w:rsidRPr="00863813">
        <w:rPr>
          <w:noProof/>
        </w:rPr>
        <w:t>Ownership</w:t>
      </w:r>
      <w:r>
        <w:rPr>
          <w:noProof/>
          <w:webHidden/>
        </w:rPr>
        <w:tab/>
      </w:r>
      <w:r w:rsidR="000E1AC8">
        <w:rPr>
          <w:noProof/>
          <w:webHidden/>
        </w:rPr>
        <w:t>2</w:t>
      </w:r>
      <w:r w:rsidR="000C4551">
        <w:rPr>
          <w:noProof/>
          <w:webHidden/>
        </w:rPr>
        <w:t>5</w:t>
      </w:r>
    </w:p>
    <w:p w14:paraId="02994509" w14:textId="1D23EAFC" w:rsidR="0026647F" w:rsidRDefault="0026647F" w:rsidP="00C37F32">
      <w:pPr>
        <w:pStyle w:val="TOC1"/>
        <w:rPr>
          <w:rFonts w:asciiTheme="minorHAnsi" w:eastAsiaTheme="minorEastAsia" w:hAnsiTheme="minorHAnsi" w:cstheme="minorBidi"/>
          <w:noProof/>
          <w:sz w:val="24"/>
          <w:szCs w:val="24"/>
        </w:rPr>
      </w:pPr>
      <w:r w:rsidRPr="00863813">
        <w:rPr>
          <w:noProof/>
        </w:rPr>
        <w:t>FINANCIAL INFORMATION</w:t>
      </w:r>
      <w:r>
        <w:rPr>
          <w:noProof/>
          <w:webHidden/>
        </w:rPr>
        <w:tab/>
      </w:r>
      <w:r w:rsidR="000E1AC8">
        <w:rPr>
          <w:noProof/>
          <w:webHidden/>
        </w:rPr>
        <w:t>2</w:t>
      </w:r>
      <w:r w:rsidR="000C4551">
        <w:rPr>
          <w:noProof/>
          <w:webHidden/>
        </w:rPr>
        <w:t>6</w:t>
      </w:r>
    </w:p>
    <w:p w14:paraId="4CFA1102" w14:textId="230811E5" w:rsidR="0026647F" w:rsidRDefault="0026647F">
      <w:pPr>
        <w:pStyle w:val="TOC2"/>
        <w:rPr>
          <w:rFonts w:asciiTheme="minorHAnsi" w:eastAsiaTheme="minorEastAsia" w:hAnsiTheme="minorHAnsi" w:cstheme="minorBidi"/>
          <w:noProof/>
          <w:sz w:val="24"/>
          <w:szCs w:val="24"/>
        </w:rPr>
      </w:pPr>
      <w:r w:rsidRPr="00863813">
        <w:rPr>
          <w:noProof/>
        </w:rPr>
        <w:t>Cash and Cash Equivalents</w:t>
      </w:r>
      <w:r>
        <w:rPr>
          <w:noProof/>
          <w:webHidden/>
        </w:rPr>
        <w:tab/>
      </w:r>
      <w:r w:rsidR="000E1AC8">
        <w:rPr>
          <w:noProof/>
          <w:webHidden/>
        </w:rPr>
        <w:t>2</w:t>
      </w:r>
      <w:r w:rsidR="000C4551">
        <w:rPr>
          <w:noProof/>
          <w:webHidden/>
        </w:rPr>
        <w:t>6</w:t>
      </w:r>
    </w:p>
    <w:p w14:paraId="306B500C" w14:textId="46E5EC83" w:rsidR="0026647F" w:rsidRDefault="0026647F">
      <w:pPr>
        <w:pStyle w:val="TOC2"/>
        <w:rPr>
          <w:rFonts w:asciiTheme="minorHAnsi" w:eastAsiaTheme="minorEastAsia" w:hAnsiTheme="minorHAnsi" w:cstheme="minorBidi"/>
          <w:noProof/>
          <w:sz w:val="24"/>
          <w:szCs w:val="24"/>
        </w:rPr>
      </w:pPr>
      <w:r w:rsidRPr="00863813">
        <w:rPr>
          <w:noProof/>
        </w:rPr>
        <w:t>Liquidity and Capital Resources</w:t>
      </w:r>
      <w:r>
        <w:rPr>
          <w:noProof/>
          <w:webHidden/>
        </w:rPr>
        <w:tab/>
      </w:r>
      <w:r w:rsidR="000E1AC8">
        <w:rPr>
          <w:noProof/>
          <w:webHidden/>
        </w:rPr>
        <w:t>2</w:t>
      </w:r>
      <w:r w:rsidR="000C4551">
        <w:rPr>
          <w:noProof/>
          <w:webHidden/>
        </w:rPr>
        <w:t>6</w:t>
      </w:r>
    </w:p>
    <w:p w14:paraId="1FEAB06E" w14:textId="1D464297" w:rsidR="0026647F" w:rsidRDefault="0026647F">
      <w:pPr>
        <w:pStyle w:val="TOC2"/>
        <w:rPr>
          <w:rFonts w:asciiTheme="minorHAnsi" w:eastAsiaTheme="minorEastAsia" w:hAnsiTheme="minorHAnsi" w:cstheme="minorBidi"/>
          <w:noProof/>
          <w:sz w:val="24"/>
          <w:szCs w:val="24"/>
        </w:rPr>
      </w:pPr>
      <w:r w:rsidRPr="00863813">
        <w:rPr>
          <w:noProof/>
        </w:rPr>
        <w:t>Capital Expenditures and Other Obligations</w:t>
      </w:r>
      <w:r>
        <w:rPr>
          <w:noProof/>
          <w:webHidden/>
        </w:rPr>
        <w:tab/>
      </w:r>
      <w:r w:rsidR="000E1AC8">
        <w:rPr>
          <w:noProof/>
          <w:webHidden/>
        </w:rPr>
        <w:t>2</w:t>
      </w:r>
      <w:r w:rsidR="000C4551">
        <w:rPr>
          <w:noProof/>
          <w:webHidden/>
        </w:rPr>
        <w:t>6</w:t>
      </w:r>
    </w:p>
    <w:p w14:paraId="097F3E29" w14:textId="38062A42" w:rsidR="0026647F" w:rsidRDefault="0026647F">
      <w:pPr>
        <w:pStyle w:val="TOC2"/>
        <w:rPr>
          <w:rFonts w:asciiTheme="minorHAnsi" w:eastAsiaTheme="minorEastAsia" w:hAnsiTheme="minorHAnsi" w:cstheme="minorBidi"/>
          <w:noProof/>
          <w:sz w:val="24"/>
          <w:szCs w:val="24"/>
        </w:rPr>
      </w:pPr>
      <w:r w:rsidRPr="00863813">
        <w:rPr>
          <w:noProof/>
        </w:rPr>
        <w:t>Valuation</w:t>
      </w:r>
      <w:r>
        <w:rPr>
          <w:noProof/>
          <w:webHidden/>
        </w:rPr>
        <w:tab/>
      </w:r>
      <w:r w:rsidR="000E1AC8">
        <w:rPr>
          <w:noProof/>
          <w:webHidden/>
        </w:rPr>
        <w:t>2</w:t>
      </w:r>
      <w:r w:rsidR="000C4551">
        <w:rPr>
          <w:noProof/>
          <w:webHidden/>
        </w:rPr>
        <w:t>6</w:t>
      </w:r>
    </w:p>
    <w:p w14:paraId="71806855" w14:textId="4305D12F" w:rsidR="0026647F" w:rsidRDefault="0026647F">
      <w:pPr>
        <w:pStyle w:val="TOC2"/>
        <w:rPr>
          <w:rFonts w:asciiTheme="minorHAnsi" w:eastAsiaTheme="minorEastAsia" w:hAnsiTheme="minorHAnsi" w:cstheme="minorBidi"/>
          <w:noProof/>
          <w:sz w:val="24"/>
          <w:szCs w:val="24"/>
        </w:rPr>
      </w:pPr>
      <w:r w:rsidRPr="00863813">
        <w:rPr>
          <w:noProof/>
        </w:rPr>
        <w:t>Material Changes and Other Information</w:t>
      </w:r>
      <w:r>
        <w:rPr>
          <w:noProof/>
          <w:webHidden/>
        </w:rPr>
        <w:tab/>
      </w:r>
      <w:r w:rsidR="000E1AC8">
        <w:rPr>
          <w:noProof/>
          <w:webHidden/>
        </w:rPr>
        <w:t>2</w:t>
      </w:r>
      <w:r w:rsidR="000C4551">
        <w:rPr>
          <w:noProof/>
          <w:webHidden/>
        </w:rPr>
        <w:t>6</w:t>
      </w:r>
    </w:p>
    <w:p w14:paraId="662F82FB" w14:textId="61C9103E" w:rsidR="0026647F" w:rsidRDefault="0026647F">
      <w:pPr>
        <w:pStyle w:val="TOC2"/>
        <w:rPr>
          <w:rFonts w:asciiTheme="minorHAnsi" w:eastAsiaTheme="minorEastAsia" w:hAnsiTheme="minorHAnsi" w:cstheme="minorBidi"/>
          <w:noProof/>
          <w:sz w:val="24"/>
          <w:szCs w:val="24"/>
        </w:rPr>
      </w:pPr>
      <w:r w:rsidRPr="00863813">
        <w:rPr>
          <w:noProof/>
        </w:rPr>
        <w:t>Previous Offerings of Securities</w:t>
      </w:r>
      <w:r>
        <w:rPr>
          <w:noProof/>
          <w:webHidden/>
        </w:rPr>
        <w:tab/>
      </w:r>
      <w:r w:rsidR="000E1AC8">
        <w:rPr>
          <w:noProof/>
          <w:webHidden/>
        </w:rPr>
        <w:t>2</w:t>
      </w:r>
      <w:r w:rsidR="000C4551">
        <w:rPr>
          <w:noProof/>
          <w:webHidden/>
        </w:rPr>
        <w:t>7</w:t>
      </w:r>
    </w:p>
    <w:p w14:paraId="47C0CBFF" w14:textId="637A6BDD" w:rsidR="0026647F" w:rsidRDefault="0026647F" w:rsidP="00C37F32">
      <w:pPr>
        <w:pStyle w:val="TOC1"/>
        <w:rPr>
          <w:rFonts w:asciiTheme="minorHAnsi" w:eastAsiaTheme="minorEastAsia" w:hAnsiTheme="minorHAnsi" w:cstheme="minorBidi"/>
          <w:noProof/>
          <w:sz w:val="24"/>
          <w:szCs w:val="24"/>
        </w:rPr>
      </w:pPr>
      <w:r w:rsidRPr="00863813">
        <w:rPr>
          <w:noProof/>
        </w:rPr>
        <w:t>TRANSACTIONS WITH RELATED PERSONS AND CONFLICTS OF INTEREST</w:t>
      </w:r>
      <w:r>
        <w:rPr>
          <w:noProof/>
          <w:webHidden/>
        </w:rPr>
        <w:tab/>
      </w:r>
      <w:r w:rsidR="000C4551">
        <w:rPr>
          <w:noProof/>
          <w:webHidden/>
        </w:rPr>
        <w:t>28</w:t>
      </w:r>
    </w:p>
    <w:p w14:paraId="4A5ED64B" w14:textId="4B720C39" w:rsidR="0026647F" w:rsidRDefault="0026647F" w:rsidP="00C37F32">
      <w:pPr>
        <w:pStyle w:val="TOC1"/>
        <w:rPr>
          <w:rFonts w:asciiTheme="minorHAnsi" w:eastAsiaTheme="minorEastAsia" w:hAnsiTheme="minorHAnsi" w:cstheme="minorBidi"/>
          <w:noProof/>
          <w:sz w:val="24"/>
          <w:szCs w:val="24"/>
        </w:rPr>
      </w:pPr>
      <w:r w:rsidRPr="00863813">
        <w:rPr>
          <w:noProof/>
        </w:rPr>
        <w:t>TAX MATTERS</w:t>
      </w:r>
      <w:r>
        <w:rPr>
          <w:noProof/>
          <w:webHidden/>
        </w:rPr>
        <w:tab/>
      </w:r>
      <w:r w:rsidR="000E1AC8">
        <w:rPr>
          <w:noProof/>
          <w:webHidden/>
        </w:rPr>
        <w:t>2</w:t>
      </w:r>
      <w:r w:rsidR="000C4551">
        <w:rPr>
          <w:noProof/>
          <w:webHidden/>
        </w:rPr>
        <w:t>8</w:t>
      </w:r>
    </w:p>
    <w:p w14:paraId="334FE139" w14:textId="2DEF6634" w:rsidR="0026647F" w:rsidRDefault="0026647F" w:rsidP="00C37F32">
      <w:pPr>
        <w:pStyle w:val="TOC1"/>
        <w:rPr>
          <w:rFonts w:asciiTheme="minorHAnsi" w:eastAsiaTheme="minorEastAsia" w:hAnsiTheme="minorHAnsi" w:cstheme="minorBidi"/>
          <w:noProof/>
          <w:sz w:val="24"/>
          <w:szCs w:val="24"/>
        </w:rPr>
      </w:pPr>
      <w:r w:rsidRPr="00863813">
        <w:rPr>
          <w:noProof/>
        </w:rPr>
        <w:t>LEGAL MATTERS</w:t>
      </w:r>
      <w:r>
        <w:rPr>
          <w:noProof/>
          <w:webHidden/>
        </w:rPr>
        <w:tab/>
      </w:r>
      <w:r w:rsidR="009E6D97">
        <w:rPr>
          <w:noProof/>
          <w:webHidden/>
        </w:rPr>
        <w:t>2</w:t>
      </w:r>
      <w:r w:rsidR="000C4551">
        <w:rPr>
          <w:noProof/>
          <w:webHidden/>
        </w:rPr>
        <w:t>9</w:t>
      </w:r>
    </w:p>
    <w:p w14:paraId="41CD1B6F" w14:textId="125FF645" w:rsidR="0026647F" w:rsidRDefault="0026647F" w:rsidP="00C37F32">
      <w:pPr>
        <w:pStyle w:val="TOC1"/>
        <w:rPr>
          <w:rFonts w:asciiTheme="minorHAnsi" w:eastAsiaTheme="minorEastAsia" w:hAnsiTheme="minorHAnsi" w:cstheme="minorBidi"/>
          <w:noProof/>
          <w:sz w:val="24"/>
          <w:szCs w:val="24"/>
        </w:rPr>
      </w:pPr>
      <w:r w:rsidRPr="00863813">
        <w:rPr>
          <w:rFonts w:eastAsia="Times"/>
          <w:noProof/>
        </w:rPr>
        <w:t>ADDITIONAL INFORMATION</w:t>
      </w:r>
      <w:r>
        <w:rPr>
          <w:noProof/>
          <w:webHidden/>
        </w:rPr>
        <w:tab/>
      </w:r>
      <w:r w:rsidR="000C4551">
        <w:rPr>
          <w:noProof/>
          <w:webHidden/>
        </w:rPr>
        <w:t>30</w:t>
      </w:r>
    </w:p>
    <w:p w14:paraId="7D287EEF" w14:textId="7927ECE9" w:rsidR="00DC0ACF" w:rsidRPr="0063792C" w:rsidRDefault="00DC0ACF" w:rsidP="00DC0ACF">
      <w:pPr>
        <w:spacing w:before="70" w:after="70"/>
        <w:sectPr w:rsidR="00DC0ACF" w:rsidRPr="0063792C" w:rsidSect="004C3ED3">
          <w:headerReference w:type="first" r:id="rId10"/>
          <w:pgSz w:w="12240" w:h="15840"/>
          <w:pgMar w:top="720" w:right="1440" w:bottom="720" w:left="1440" w:header="708" w:footer="708" w:gutter="0"/>
          <w:pgNumType w:start="1"/>
          <w:cols w:space="720"/>
          <w:titlePg/>
          <w:docGrid w:linePitch="272"/>
        </w:sectPr>
      </w:pPr>
    </w:p>
    <w:p w14:paraId="159A929C" w14:textId="77777777" w:rsidR="00DC0ACF" w:rsidRPr="0063792C" w:rsidRDefault="00DC0ACF" w:rsidP="00DC0ACF">
      <w:pPr>
        <w:pStyle w:val="Heading1"/>
        <w:jc w:val="center"/>
      </w:pPr>
      <w:bookmarkStart w:id="0" w:name="_Toc103593633"/>
      <w:r w:rsidRPr="0063792C">
        <w:lastRenderedPageBreak/>
        <w:t>ABOUT THIS FORM C</w:t>
      </w:r>
      <w:bookmarkEnd w:id="0"/>
    </w:p>
    <w:p w14:paraId="65F720D8" w14:textId="77777777" w:rsidR="00DC0ACF" w:rsidRPr="0063792C" w:rsidRDefault="00DC0ACF" w:rsidP="00DC0ACF">
      <w:pPr>
        <w:rPr>
          <w:b/>
        </w:rPr>
      </w:pPr>
    </w:p>
    <w:p w14:paraId="145E2AC7" w14:textId="7584A6D6" w:rsidR="00DC0ACF" w:rsidRPr="0063792C" w:rsidRDefault="00DC0ACF" w:rsidP="00D0194F">
      <w:pPr>
        <w:spacing w:beforeLines="120" w:before="288" w:afterLines="120" w:after="288"/>
        <w:contextualSpacing/>
      </w:pPr>
      <w:r w:rsidRPr="0063792C">
        <w:t xml:space="preserve">You should rely only on the information contained in this Form C. We have not authorized anyone to provide any information or make any representations other than those contained in this Form C, and no source other than </w:t>
      </w:r>
      <w:bookmarkStart w:id="1" w:name="_Hlk105957703"/>
      <w:r w:rsidRPr="0063792C">
        <w:t>OpenDeal Portal LLC dba Republic</w:t>
      </w:r>
      <w:r>
        <w:t xml:space="preserve"> (the </w:t>
      </w:r>
      <w:r w:rsidRPr="00EE211C">
        <w:rPr>
          <w:b/>
          <w:bCs/>
        </w:rPr>
        <w:t>“</w:t>
      </w:r>
      <w:r w:rsidRPr="00BD59DC">
        <w:rPr>
          <w:b/>
        </w:rPr>
        <w:t>Intermediary</w:t>
      </w:r>
      <w:r w:rsidRPr="00EE211C">
        <w:rPr>
          <w:b/>
          <w:bCs/>
        </w:rPr>
        <w:t>”</w:t>
      </w:r>
      <w:r>
        <w:t>)</w:t>
      </w:r>
      <w:r w:rsidRPr="0063792C">
        <w:t xml:space="preserve"> </w:t>
      </w:r>
      <w:bookmarkEnd w:id="1"/>
      <w:r w:rsidRPr="0063792C">
        <w:t xml:space="preserve">has been authorized to host this Form C and the Offering. If anyone provides you with different or inconsistent information, you should not rely on it. We are not offering to sell, nor seeking offers to buy, the </w:t>
      </w:r>
      <w:r w:rsidRPr="00660B5D">
        <w:t>Securities</w:t>
      </w:r>
      <w:r w:rsidR="0083045F">
        <w:t xml:space="preserve"> (as defined below)</w:t>
      </w:r>
      <w:r w:rsidRPr="0063792C">
        <w:t xml:space="preserve"> in any jurisdiction where such offers and sales are not permitted. The information contained in this Form C and any documents incorporated by reference herein is accurate only as of the date of those respective documents, regardless of the time of delivery of this Form C or the time of issuance or sale of any Securities.</w:t>
      </w:r>
    </w:p>
    <w:p w14:paraId="7B9BC9A3" w14:textId="77777777" w:rsidR="00DC0ACF" w:rsidRPr="0063792C" w:rsidRDefault="00DC0ACF" w:rsidP="00DC0ACF"/>
    <w:p w14:paraId="22937F02" w14:textId="509A5C7C" w:rsidR="00DC0ACF" w:rsidRPr="0063792C" w:rsidRDefault="00DC0ACF" w:rsidP="00DC0ACF">
      <w:r w:rsidRPr="0063792C">
        <w:t xml:space="preserve">Statements contained herein as to the content of any agreements or other documents are summaries and, therefore, are necessarily selective and incomplete and are qualified in their entirety by the actual agreements or other documents. Prior to the consummation of the purchase and sale of the Securities, the </w:t>
      </w:r>
      <w:r w:rsidR="00315FDC">
        <w:t>Issuer</w:t>
      </w:r>
      <w:r w:rsidRPr="0063792C">
        <w:t xml:space="preserve"> will afford prospective Investors </w:t>
      </w:r>
      <w:r>
        <w:t xml:space="preserve">(defined below) </w:t>
      </w:r>
      <w:r w:rsidRPr="0063792C">
        <w:t xml:space="preserve">an opportunity to ask questions of, and receive answers from, the </w:t>
      </w:r>
      <w:r w:rsidR="00315FDC">
        <w:t>Issuer</w:t>
      </w:r>
      <w:r w:rsidRPr="0063792C">
        <w:t xml:space="preserve"> and its management concerning the terms and conditions of this Offering and the </w:t>
      </w:r>
      <w:r w:rsidR="00315FDC">
        <w:t>Issuer</w:t>
      </w:r>
      <w:r w:rsidRPr="0063792C">
        <w:t xml:space="preserve">. </w:t>
      </w:r>
      <w:bookmarkStart w:id="2" w:name="_Hlk105957812"/>
      <w:r w:rsidRPr="0063792C">
        <w:t>Potential purchasers of the Securities are referred to herein as “</w:t>
      </w:r>
      <w:r w:rsidRPr="0063792C">
        <w:rPr>
          <w:b/>
        </w:rPr>
        <w:t>Investors</w:t>
      </w:r>
      <w:r w:rsidRPr="0063792C">
        <w:t>” or “</w:t>
      </w:r>
      <w:r w:rsidRPr="0063792C">
        <w:rPr>
          <w:b/>
        </w:rPr>
        <w:t>you</w:t>
      </w:r>
      <w:r w:rsidRPr="0063792C">
        <w:t>”.</w:t>
      </w:r>
      <w:bookmarkEnd w:id="2"/>
      <w:r w:rsidR="00315FDC">
        <w:t xml:space="preserve"> The Issuer is referred to herein as the “Issuer” or “we”. </w:t>
      </w:r>
    </w:p>
    <w:p w14:paraId="0F7C2EE5" w14:textId="77777777" w:rsidR="00DC0ACF" w:rsidRPr="0063792C" w:rsidRDefault="00DC0ACF" w:rsidP="00DC0ACF"/>
    <w:p w14:paraId="2A1FBF64" w14:textId="71F7989B" w:rsidR="00DC0ACF" w:rsidRPr="0063792C" w:rsidRDefault="00DC0ACF" w:rsidP="00DC0ACF">
      <w:r w:rsidRPr="0063792C">
        <w:t xml:space="preserve">In making an investment decision, you must rely on your own examination of the </w:t>
      </w:r>
      <w:r w:rsidR="00315FDC">
        <w:t>Issuer</w:t>
      </w:r>
      <w:r w:rsidRPr="0063792C">
        <w:t xml:space="preserve"> and the terms of the Offering, including the merits and risks involved. The statements of the </w:t>
      </w:r>
      <w:r w:rsidR="00315FDC">
        <w:t>Issuer</w:t>
      </w:r>
      <w:r w:rsidRPr="0063792C">
        <w:t xml:space="preserve"> contained herein are based on information believed to be reliable; however, no warranty can be made as to the accuracy of such information or that circumstances have not changed since the date of this Form C. For example, our business, financial condition, results of operations, and prospects may have changed since the date of this Form C. The </w:t>
      </w:r>
      <w:r w:rsidR="00315FDC">
        <w:t>Issuer</w:t>
      </w:r>
      <w:r w:rsidRPr="0063792C">
        <w:t xml:space="preserve"> does not expect to update or otherwise revise this Form C or any other materials supplied herewith.  </w:t>
      </w:r>
    </w:p>
    <w:p w14:paraId="1EFE1BA6" w14:textId="77777777" w:rsidR="00DC0ACF" w:rsidRPr="0063792C" w:rsidRDefault="00DC0ACF" w:rsidP="00DC0ACF"/>
    <w:p w14:paraId="15776B40" w14:textId="77777777" w:rsidR="00DC0ACF" w:rsidRPr="0063792C" w:rsidRDefault="00DC0ACF" w:rsidP="00DC0ACF">
      <w:r w:rsidRPr="0063792C">
        <w:t>This Form C is submitted in connection with the Offering described herein and may not be reproduced or used for any other purpose.</w:t>
      </w:r>
    </w:p>
    <w:p w14:paraId="215A35B7" w14:textId="77777777" w:rsidR="00DC0ACF" w:rsidRPr="0063792C" w:rsidRDefault="00DC0ACF" w:rsidP="00DC0ACF">
      <w:pPr>
        <w:rPr>
          <w:b/>
        </w:rPr>
      </w:pPr>
    </w:p>
    <w:p w14:paraId="1CCB818D" w14:textId="77777777" w:rsidR="00DC0ACF" w:rsidRPr="0063792C" w:rsidRDefault="00DC0ACF" w:rsidP="00DC0ACF">
      <w:pPr>
        <w:pStyle w:val="Heading1"/>
        <w:jc w:val="center"/>
      </w:pPr>
      <w:bookmarkStart w:id="3" w:name="_Toc103593634"/>
      <w:r w:rsidRPr="0063792C">
        <w:t>CAUTIONARY NOTE CONCERNING FORWARD-LOOKING STATEMENTS</w:t>
      </w:r>
      <w:bookmarkEnd w:id="3"/>
    </w:p>
    <w:p w14:paraId="4635D06B" w14:textId="77777777" w:rsidR="00DC0ACF" w:rsidRPr="0063792C" w:rsidRDefault="00DC0ACF" w:rsidP="00DC0ACF">
      <w:pPr>
        <w:ind w:firstLine="720"/>
        <w:rPr>
          <w:b/>
          <w:i/>
        </w:rPr>
      </w:pPr>
    </w:p>
    <w:p w14:paraId="19897CAE" w14:textId="77777777" w:rsidR="00DC0ACF" w:rsidRPr="0063792C" w:rsidRDefault="00DC0ACF" w:rsidP="00DC0ACF">
      <w:r w:rsidRPr="0063792C">
        <w:rPr>
          <w:iCs/>
        </w:rPr>
        <w:t>This Form C and any documents incorporated by reference herein contain forward-looking statements and are subject to risks and uncertainties. All statements other than statements of historical fact or relating to present facts or current conditions included in this Form C are forward-looking statements. Forward-looking statements give our current reasonable expectations and projections regarding our financial condition, results of operations, plans, objectives, future performance and business. You can identify forward-looking statements by the fact that they do not relate strictly to historical or current facts. These statements may include words such as “anticipate,” “estimate,” “expect,” “project,” “plan,” “intend,” “believe,” “may,” “should,” “can have,” “likely” and other words and terms of similar meaning in connection with any discussion of the timing or nature of future operating or financial performance or other events.</w:t>
      </w:r>
    </w:p>
    <w:p w14:paraId="4A80D097" w14:textId="77777777" w:rsidR="00DC0ACF" w:rsidRPr="0063792C" w:rsidRDefault="00DC0ACF" w:rsidP="00DC0ACF">
      <w:pPr>
        <w:ind w:firstLine="720"/>
        <w:rPr>
          <w:iCs/>
        </w:rPr>
      </w:pPr>
    </w:p>
    <w:p w14:paraId="4ACEFF3B" w14:textId="77777777" w:rsidR="00DC0ACF" w:rsidRPr="0063792C" w:rsidRDefault="00DC0ACF" w:rsidP="00DC0ACF">
      <w:pPr>
        <w:rPr>
          <w:iCs/>
        </w:rPr>
      </w:pPr>
      <w:r w:rsidRPr="0063792C">
        <w:rPr>
          <w:iCs/>
        </w:rPr>
        <w:t xml:space="preserve">The forward-looking statements contained in this Form C and any documents incorporated by reference herein are based on reasonable assumptions we have made in light of our industry experience, perceptions of historical trends, current conditions, expected future developments and other factors we believe are appropriate under the circumstances. As you read and consider this Form C, you should understand that these statements are not guarantees of performance or results. Although we believe that these forward-looking statements are based on reasonable assumptions, you should be aware that many factors could affect our actual operating and financial performance and cause our performance to differ materially from the performance anticipated in the forward-looking statements. Should one or more of these risks or uncertainties materialize, or should any of these assumptions prove incorrect or change, our actual operating and financial performance may vary in material respects from the performance projected in these forward-looking statements. </w:t>
      </w:r>
    </w:p>
    <w:p w14:paraId="02225420" w14:textId="77777777" w:rsidR="00DC0ACF" w:rsidRPr="0063792C" w:rsidRDefault="00DC0ACF" w:rsidP="00DC0ACF">
      <w:pPr>
        <w:ind w:firstLine="720"/>
        <w:rPr>
          <w:iCs/>
        </w:rPr>
      </w:pPr>
    </w:p>
    <w:p w14:paraId="7A02135B" w14:textId="137069DF" w:rsidR="00DC0ACF" w:rsidRPr="0063792C" w:rsidRDefault="00DC0ACF" w:rsidP="00DC0ACF">
      <w:pPr>
        <w:rPr>
          <w:bCs/>
          <w:iCs/>
        </w:rPr>
      </w:pPr>
      <w:r w:rsidRPr="0063792C">
        <w:rPr>
          <w:bCs/>
        </w:rPr>
        <w:t xml:space="preserve">Investors are cautioned not to place undue reliance on these forward-looking statements. </w:t>
      </w:r>
      <w:r w:rsidRPr="0063792C">
        <w:rPr>
          <w:bCs/>
          <w:iCs/>
        </w:rPr>
        <w:t xml:space="preserve">Any forward-looking statements made in this Form C or any documents incorporated by reference herein </w:t>
      </w:r>
      <w:r w:rsidR="004C33E7">
        <w:rPr>
          <w:bCs/>
          <w:iCs/>
        </w:rPr>
        <w:t>are</w:t>
      </w:r>
      <w:r w:rsidRPr="0063792C">
        <w:rPr>
          <w:bCs/>
          <w:iCs/>
        </w:rPr>
        <w:t xml:space="preserve"> accurate only </w:t>
      </w:r>
      <w:r w:rsidRPr="0063792C">
        <w:t>as of the date of those respective documents</w:t>
      </w:r>
      <w:r w:rsidRPr="0063792C">
        <w:rPr>
          <w:bCs/>
          <w:iCs/>
        </w:rPr>
        <w:t xml:space="preserve">. </w:t>
      </w:r>
      <w:r w:rsidRPr="0063792C">
        <w:rPr>
          <w:bCs/>
        </w:rPr>
        <w:t>Except</w:t>
      </w:r>
      <w:r w:rsidRPr="0063792C">
        <w:rPr>
          <w:bCs/>
          <w:spacing w:val="-9"/>
        </w:rPr>
        <w:t xml:space="preserve"> </w:t>
      </w:r>
      <w:r w:rsidRPr="0063792C">
        <w:rPr>
          <w:bCs/>
        </w:rPr>
        <w:t>as</w:t>
      </w:r>
      <w:r w:rsidRPr="0063792C">
        <w:rPr>
          <w:bCs/>
          <w:spacing w:val="-6"/>
        </w:rPr>
        <w:t xml:space="preserve"> </w:t>
      </w:r>
      <w:r w:rsidRPr="0063792C">
        <w:rPr>
          <w:bCs/>
        </w:rPr>
        <w:t>required</w:t>
      </w:r>
      <w:r w:rsidRPr="0063792C">
        <w:rPr>
          <w:bCs/>
          <w:spacing w:val="-9"/>
        </w:rPr>
        <w:t xml:space="preserve"> </w:t>
      </w:r>
      <w:r w:rsidRPr="0063792C">
        <w:rPr>
          <w:bCs/>
        </w:rPr>
        <w:t>by</w:t>
      </w:r>
      <w:r w:rsidRPr="0063792C">
        <w:rPr>
          <w:bCs/>
          <w:spacing w:val="-7"/>
        </w:rPr>
        <w:t xml:space="preserve"> </w:t>
      </w:r>
      <w:r w:rsidRPr="0063792C">
        <w:rPr>
          <w:bCs/>
        </w:rPr>
        <w:t>law,</w:t>
      </w:r>
      <w:r w:rsidRPr="0063792C">
        <w:rPr>
          <w:bCs/>
          <w:spacing w:val="-8"/>
        </w:rPr>
        <w:t xml:space="preserve"> </w:t>
      </w:r>
      <w:r w:rsidRPr="0063792C">
        <w:rPr>
          <w:bCs/>
        </w:rPr>
        <w:t>we</w:t>
      </w:r>
      <w:r w:rsidRPr="0063792C">
        <w:rPr>
          <w:bCs/>
          <w:spacing w:val="-6"/>
        </w:rPr>
        <w:t xml:space="preserve"> </w:t>
      </w:r>
      <w:r w:rsidRPr="0063792C">
        <w:rPr>
          <w:bCs/>
        </w:rPr>
        <w:t>undertake</w:t>
      </w:r>
      <w:r w:rsidRPr="0063792C">
        <w:rPr>
          <w:bCs/>
          <w:spacing w:val="-6"/>
        </w:rPr>
        <w:t xml:space="preserve"> </w:t>
      </w:r>
      <w:r w:rsidRPr="0063792C">
        <w:rPr>
          <w:bCs/>
        </w:rPr>
        <w:t>no</w:t>
      </w:r>
      <w:r w:rsidRPr="0063792C">
        <w:rPr>
          <w:bCs/>
          <w:spacing w:val="-8"/>
        </w:rPr>
        <w:t xml:space="preserve"> </w:t>
      </w:r>
      <w:r w:rsidRPr="0063792C">
        <w:rPr>
          <w:bCs/>
        </w:rPr>
        <w:t>obligation</w:t>
      </w:r>
      <w:r w:rsidRPr="0063792C">
        <w:rPr>
          <w:bCs/>
          <w:spacing w:val="-9"/>
        </w:rPr>
        <w:t xml:space="preserve"> </w:t>
      </w:r>
      <w:r w:rsidRPr="0063792C">
        <w:rPr>
          <w:bCs/>
        </w:rPr>
        <w:t>to</w:t>
      </w:r>
      <w:r w:rsidRPr="0063792C">
        <w:rPr>
          <w:bCs/>
          <w:spacing w:val="-7"/>
        </w:rPr>
        <w:t xml:space="preserve"> publicly </w:t>
      </w:r>
      <w:r w:rsidRPr="0063792C">
        <w:rPr>
          <w:bCs/>
        </w:rPr>
        <w:t>update any forward-looking statements for any reason after the date of this Form C or to conform these statements to actual results or to changes in our</w:t>
      </w:r>
      <w:r w:rsidRPr="0063792C">
        <w:rPr>
          <w:bCs/>
          <w:spacing w:val="3"/>
        </w:rPr>
        <w:t xml:space="preserve"> </w:t>
      </w:r>
      <w:r w:rsidRPr="0063792C">
        <w:rPr>
          <w:bCs/>
        </w:rPr>
        <w:t>expectations.</w:t>
      </w:r>
    </w:p>
    <w:p w14:paraId="3CAD920E" w14:textId="77777777" w:rsidR="00DC0ACF" w:rsidRPr="0063792C" w:rsidRDefault="00DC0ACF" w:rsidP="00DC0ACF">
      <w:pPr>
        <w:rPr>
          <w:iCs/>
        </w:rPr>
      </w:pPr>
    </w:p>
    <w:p w14:paraId="69C90790" w14:textId="77777777" w:rsidR="00DC0ACF" w:rsidRPr="0063792C" w:rsidRDefault="00DC0ACF" w:rsidP="00DC0ACF">
      <w:pPr>
        <w:sectPr w:rsidR="00DC0ACF" w:rsidRPr="0063792C" w:rsidSect="004C3ED3">
          <w:footerReference w:type="default" r:id="rId11"/>
          <w:footerReference w:type="first" r:id="rId12"/>
          <w:pgSz w:w="12240" w:h="15840"/>
          <w:pgMar w:top="720" w:right="1440" w:bottom="720" w:left="1440" w:header="708" w:footer="708" w:gutter="0"/>
          <w:pgNumType w:fmt="lowerRoman" w:start="1"/>
          <w:cols w:space="720"/>
          <w:titlePg/>
          <w:docGrid w:linePitch="272"/>
        </w:sectPr>
      </w:pPr>
    </w:p>
    <w:p w14:paraId="60340F67" w14:textId="77777777" w:rsidR="00DC0ACF" w:rsidRPr="0063792C" w:rsidRDefault="00DC0ACF" w:rsidP="00DC0ACF"/>
    <w:p w14:paraId="5A7B1769" w14:textId="33948C61" w:rsidR="00C46FE4" w:rsidRPr="00461F68" w:rsidRDefault="00C46FE4" w:rsidP="00D0194F">
      <w:pPr>
        <w:pStyle w:val="Heading1"/>
        <w:jc w:val="center"/>
      </w:pPr>
      <w:bookmarkStart w:id="4" w:name="_Toc103593635"/>
      <w:r w:rsidRPr="0063792C">
        <w:t>THE OFFERING AND THE SECURITIES</w:t>
      </w:r>
      <w:bookmarkEnd w:id="4"/>
    </w:p>
    <w:p w14:paraId="5F8AB800" w14:textId="77777777" w:rsidR="00B97348" w:rsidRDefault="00B97348" w:rsidP="00C46FE4">
      <w:pPr>
        <w:pStyle w:val="Heading2"/>
      </w:pPr>
    </w:p>
    <w:p w14:paraId="3F3E01EB" w14:textId="3999E248" w:rsidR="00C46FE4" w:rsidRPr="0063792C" w:rsidRDefault="00C46FE4" w:rsidP="00C46FE4">
      <w:pPr>
        <w:pStyle w:val="Heading2"/>
      </w:pPr>
      <w:bookmarkStart w:id="5" w:name="_Toc103593636"/>
      <w:r w:rsidRPr="0063792C">
        <w:t>The Offering</w:t>
      </w:r>
      <w:bookmarkEnd w:id="5"/>
      <w:r w:rsidRPr="0063792C">
        <w:t xml:space="preserve"> </w:t>
      </w:r>
    </w:p>
    <w:p w14:paraId="48DC67FE" w14:textId="77777777" w:rsidR="00C46FE4" w:rsidRPr="0063792C" w:rsidRDefault="00C46FE4" w:rsidP="00C46FE4"/>
    <w:p w14:paraId="4A8E4A06" w14:textId="1E5BC7C3" w:rsidR="00C46FE4" w:rsidRDefault="00C46FE4" w:rsidP="00C46FE4">
      <w:r w:rsidRPr="0063792C">
        <w:t xml:space="preserve">The </w:t>
      </w:r>
      <w:r w:rsidR="00315FDC">
        <w:t>Issuer</w:t>
      </w:r>
      <w:r w:rsidRPr="00BD1093">
        <w:t xml:space="preserve"> is offering a minimum amount of $</w:t>
      </w:r>
      <w:r w:rsidRPr="00315FDC">
        <w:t>5</w:t>
      </w:r>
      <w:r w:rsidR="00315FDC" w:rsidRPr="00315FDC">
        <w:t>0</w:t>
      </w:r>
      <w:r w:rsidRPr="00315FDC">
        <w:t>,000</w:t>
      </w:r>
      <w:r w:rsidRPr="00BD1093">
        <w:t xml:space="preserve"> (the “</w:t>
      </w:r>
      <w:r w:rsidRPr="00BD1093">
        <w:rPr>
          <w:b/>
          <w:bCs/>
        </w:rPr>
        <w:t>Target Offering Amount</w:t>
      </w:r>
      <w:r w:rsidRPr="00BD1093">
        <w:t>”) and up to a maximum amount of $</w:t>
      </w:r>
      <w:r w:rsidRPr="008B7F64">
        <w:t>1,</w:t>
      </w:r>
      <w:r w:rsidR="00982050" w:rsidRPr="008B7F64">
        <w:t>235</w:t>
      </w:r>
      <w:r w:rsidRPr="008B7F64">
        <w:t>,000</w:t>
      </w:r>
      <w:r w:rsidRPr="00BD1093">
        <w:t xml:space="preserve"> (the “</w:t>
      </w:r>
      <w:r w:rsidRPr="00BD1093">
        <w:rPr>
          <w:b/>
          <w:bCs/>
        </w:rPr>
        <w:t>Maximum Offering Amount</w:t>
      </w:r>
      <w:r w:rsidRPr="00BD1093">
        <w:t xml:space="preserve">”) of </w:t>
      </w:r>
      <w:r w:rsidRPr="004E7854">
        <w:t>SAFE (Simple Agreement for Future Equity)</w:t>
      </w:r>
      <w:r w:rsidRPr="00BD1093">
        <w:t xml:space="preserve"> (the “</w:t>
      </w:r>
      <w:r w:rsidRPr="00BD1093">
        <w:rPr>
          <w:b/>
          <w:bCs/>
        </w:rPr>
        <w:t>Securities</w:t>
      </w:r>
      <w:r w:rsidRPr="00BD1093">
        <w:t xml:space="preserve">”) on a best efforts basis as described in this Form C (this </w:t>
      </w:r>
      <w:r w:rsidRPr="00BD1093">
        <w:rPr>
          <w:b/>
        </w:rPr>
        <w:t>“Offering</w:t>
      </w:r>
      <w:r w:rsidRPr="00BD1093">
        <w:t xml:space="preserve">”). </w:t>
      </w:r>
      <w:r w:rsidR="006972EB">
        <w:t xml:space="preserve">The Minimum Individual </w:t>
      </w:r>
      <w:r w:rsidR="00315FDC">
        <w:t>Purchase</w:t>
      </w:r>
      <w:r w:rsidR="00BC5133">
        <w:t xml:space="preserve"> Amount</w:t>
      </w:r>
      <w:r w:rsidR="006972EB">
        <w:t xml:space="preserve"> is </w:t>
      </w:r>
      <w:r w:rsidR="004E7854" w:rsidRPr="008B7F64">
        <w:t>$100</w:t>
      </w:r>
      <w:r w:rsidR="006972EB">
        <w:t xml:space="preserve"> and the Maximum Individual </w:t>
      </w:r>
      <w:r w:rsidR="00315FDC">
        <w:t>Purchase</w:t>
      </w:r>
      <w:r w:rsidR="00BC5133">
        <w:t xml:space="preserve"> Amount</w:t>
      </w:r>
      <w:r w:rsidR="006972EB">
        <w:t xml:space="preserve"> is </w:t>
      </w:r>
      <w:r w:rsidR="004E7854" w:rsidRPr="008B7F64">
        <w:t>$</w:t>
      </w:r>
      <w:r w:rsidR="008B7F64" w:rsidRPr="008B7F64">
        <w:t>124,000</w:t>
      </w:r>
      <w:r w:rsidR="006972EB">
        <w:t xml:space="preserve">.  The </w:t>
      </w:r>
      <w:r w:rsidR="00315FDC">
        <w:t xml:space="preserve">Issuer </w:t>
      </w:r>
      <w:r w:rsidR="006972EB">
        <w:t xml:space="preserve">reserves the right to </w:t>
      </w:r>
      <w:r w:rsidR="000003DC">
        <w:t xml:space="preserve">amend the Minimum Individual </w:t>
      </w:r>
      <w:r w:rsidR="00315FDC">
        <w:t>Purchase</w:t>
      </w:r>
      <w:r w:rsidR="00BC5133">
        <w:t xml:space="preserve"> Amount</w:t>
      </w:r>
      <w:r w:rsidR="000003DC">
        <w:t xml:space="preserve"> and Maximum Individual </w:t>
      </w:r>
      <w:r w:rsidR="00315FDC">
        <w:t>Purchase</w:t>
      </w:r>
      <w:r w:rsidR="00BC5133">
        <w:t xml:space="preserve"> Amount</w:t>
      </w:r>
      <w:r w:rsidR="000003DC">
        <w:t xml:space="preserve">, in its sole discretion.  In particular, the </w:t>
      </w:r>
      <w:r w:rsidR="00315FDC">
        <w:t>Issuer</w:t>
      </w:r>
      <w:r w:rsidR="000003DC">
        <w:t xml:space="preserve"> may elect to participate in one of the Intermediary’s special investment programs and may offer alternative Minimum Individual </w:t>
      </w:r>
      <w:r w:rsidR="00315FDC">
        <w:t>Purchase</w:t>
      </w:r>
      <w:r w:rsidR="00BC5133">
        <w:t xml:space="preserve"> Amount</w:t>
      </w:r>
      <w:r w:rsidR="000003DC">
        <w:t xml:space="preserve">s and Maximum Individual </w:t>
      </w:r>
      <w:r w:rsidR="00315FDC">
        <w:t>Purchase</w:t>
      </w:r>
      <w:r w:rsidR="00BC5133">
        <w:t xml:space="preserve"> Amount</w:t>
      </w:r>
      <w:r w:rsidR="000003DC">
        <w:t xml:space="preserve">s to Investors participating in such programs without notice.  </w:t>
      </w:r>
      <w:r w:rsidR="00B97348">
        <w:t xml:space="preserve">The </w:t>
      </w:r>
      <w:r w:rsidR="00B22284">
        <w:t>Issuer</w:t>
      </w:r>
      <w:r w:rsidR="00B97348">
        <w:t xml:space="preserve"> </w:t>
      </w:r>
      <w:r w:rsidRPr="00BD1093">
        <w:t>must raise</w:t>
      </w:r>
      <w:r w:rsidRPr="00BD1093">
        <w:rPr>
          <w:spacing w:val="-4"/>
        </w:rPr>
        <w:t xml:space="preserve"> </w:t>
      </w:r>
      <w:r w:rsidRPr="00BD1093">
        <w:t>an</w:t>
      </w:r>
      <w:r w:rsidRPr="00BD1093">
        <w:rPr>
          <w:spacing w:val="-10"/>
        </w:rPr>
        <w:t xml:space="preserve"> </w:t>
      </w:r>
      <w:r w:rsidRPr="00BD1093">
        <w:t>amount</w:t>
      </w:r>
      <w:r w:rsidRPr="00BD1093">
        <w:rPr>
          <w:spacing w:val="-6"/>
        </w:rPr>
        <w:t xml:space="preserve"> </w:t>
      </w:r>
      <w:r w:rsidRPr="00BD1093">
        <w:t>equal</w:t>
      </w:r>
      <w:r w:rsidRPr="00BD1093">
        <w:rPr>
          <w:spacing w:val="-6"/>
        </w:rPr>
        <w:t xml:space="preserve"> </w:t>
      </w:r>
      <w:r w:rsidRPr="00BD1093">
        <w:t>to</w:t>
      </w:r>
      <w:r w:rsidRPr="00BD1093">
        <w:rPr>
          <w:spacing w:val="-6"/>
        </w:rPr>
        <w:t xml:space="preserve"> </w:t>
      </w:r>
      <w:r w:rsidRPr="00BD1093">
        <w:t>or</w:t>
      </w:r>
      <w:r w:rsidRPr="00BD1093">
        <w:rPr>
          <w:spacing w:val="-7"/>
        </w:rPr>
        <w:t xml:space="preserve"> </w:t>
      </w:r>
      <w:r w:rsidRPr="00BD1093">
        <w:t>greater</w:t>
      </w:r>
      <w:r w:rsidRPr="00BD1093">
        <w:rPr>
          <w:spacing w:val="-7"/>
        </w:rPr>
        <w:t xml:space="preserve"> </w:t>
      </w:r>
      <w:r w:rsidRPr="00BD1093">
        <w:t>than</w:t>
      </w:r>
      <w:r w:rsidRPr="00BD1093">
        <w:rPr>
          <w:spacing w:val="-6"/>
        </w:rPr>
        <w:t xml:space="preserve"> </w:t>
      </w:r>
      <w:r w:rsidRPr="00BD1093">
        <w:t xml:space="preserve">the Target Offering Amount by </w:t>
      </w:r>
      <w:r w:rsidR="00106456">
        <w:t>November 1</w:t>
      </w:r>
      <w:r w:rsidR="00853BA2">
        <w:t>1</w:t>
      </w:r>
      <w:r w:rsidR="00D63000" w:rsidRPr="00315FDC">
        <w:t>, 202</w:t>
      </w:r>
      <w:r w:rsidR="008B7F64">
        <w:t>4</w:t>
      </w:r>
      <w:r w:rsidRPr="00BD1093">
        <w:t xml:space="preserve"> (the “</w:t>
      </w:r>
      <w:r w:rsidRPr="00BD1093">
        <w:rPr>
          <w:b/>
          <w:bCs/>
        </w:rPr>
        <w:t>Offering Deadline</w:t>
      </w:r>
      <w:r w:rsidRPr="0063792C">
        <w:t xml:space="preserve">”). Unless </w:t>
      </w:r>
      <w:r w:rsidR="00B97348">
        <w:t xml:space="preserve">the </w:t>
      </w:r>
      <w:r w:rsidR="00315FDC">
        <w:t>Issuer</w:t>
      </w:r>
      <w:r w:rsidRPr="0063792C">
        <w:t xml:space="preserve"> </w:t>
      </w:r>
      <w:r>
        <w:t>receive</w:t>
      </w:r>
      <w:r w:rsidR="00B97348">
        <w:t>s</w:t>
      </w:r>
      <w:r>
        <w:t xml:space="preserve"> investment commitments, which are fully paid for and meet all other requirements set by this Offering, in an amount not less than</w:t>
      </w:r>
      <w:r w:rsidRPr="0063792C" w:rsidDel="004A2C00">
        <w:t xml:space="preserve"> </w:t>
      </w:r>
      <w:r w:rsidRPr="0063792C">
        <w:t>the Target Offering Amount by the Offering Deadline, no Securities will be sold in this Offering, all investment commitments will be canceled and all committed funds will be returned.</w:t>
      </w:r>
      <w:r>
        <w:t xml:space="preserve"> </w:t>
      </w:r>
    </w:p>
    <w:p w14:paraId="4FBA9E59" w14:textId="77777777" w:rsidR="00C46FE4" w:rsidRDefault="00C46FE4" w:rsidP="00C46FE4"/>
    <w:p w14:paraId="455991D3" w14:textId="42D7F43A" w:rsidR="00C46FE4" w:rsidRPr="0063792C" w:rsidRDefault="00C46FE4" w:rsidP="00C46FE4">
      <w:r w:rsidRPr="0063792C">
        <w:t xml:space="preserve">The price of the Securities was determined arbitrarily, does not necessarily bear any relationship to the </w:t>
      </w:r>
      <w:r w:rsidR="000E221E">
        <w:t>Issuer</w:t>
      </w:r>
      <w:r w:rsidRPr="0063792C">
        <w:t xml:space="preserve">’s asset value, net worth, revenues or other </w:t>
      </w:r>
      <w:r>
        <w:t xml:space="preserve">objective </w:t>
      </w:r>
      <w:r w:rsidRPr="0063792C">
        <w:t xml:space="preserve">established criteria of value, and should not be considered indicative of the actual value of the Securities. </w:t>
      </w:r>
    </w:p>
    <w:p w14:paraId="183C2F29" w14:textId="77777777" w:rsidR="00C46FE4" w:rsidRPr="0063792C" w:rsidRDefault="00C46FE4" w:rsidP="00C46FE4"/>
    <w:p w14:paraId="57E9F3C3" w14:textId="76F2122D" w:rsidR="00C46FE4" w:rsidRPr="0063792C" w:rsidRDefault="00C46FE4" w:rsidP="00C46FE4">
      <w:r w:rsidRPr="0063792C">
        <w:t xml:space="preserve">In order to purchase the Securities, you must make a commitment to purchase by completing the </w:t>
      </w:r>
      <w:r w:rsidR="00487BF8">
        <w:t>purchase</w:t>
      </w:r>
      <w:r w:rsidRPr="0063792C">
        <w:t xml:space="preserve"> process hosted by </w:t>
      </w:r>
      <w:r>
        <w:t xml:space="preserve">the </w:t>
      </w:r>
      <w:r w:rsidRPr="0063792C">
        <w:rPr>
          <w:b/>
        </w:rPr>
        <w:t>Intermediary</w:t>
      </w:r>
      <w:r>
        <w:rPr>
          <w:b/>
        </w:rPr>
        <w:t xml:space="preserve"> (</w:t>
      </w:r>
      <w:r w:rsidRPr="00BD59DC">
        <w:rPr>
          <w:bCs/>
        </w:rPr>
        <w:t>as defined above</w:t>
      </w:r>
      <w:r w:rsidRPr="0063792C">
        <w:t xml:space="preserve">), including complying with the Intermediary’s know your customer (KYC) and anti-money laundering (AML) policies. </w:t>
      </w:r>
      <w:r w:rsidRPr="0063792C">
        <w:rPr>
          <w:b/>
          <w:bCs/>
        </w:rPr>
        <w:t xml:space="preserve">If an Investor makes an investment commitment under a name that is not their legal name, they may be unable to redeem their Security indefinitely, and neither the Intermediary nor the </w:t>
      </w:r>
      <w:r w:rsidR="000E221E">
        <w:rPr>
          <w:b/>
          <w:bCs/>
        </w:rPr>
        <w:t>Issuer</w:t>
      </w:r>
      <w:r w:rsidRPr="0063792C">
        <w:rPr>
          <w:b/>
          <w:bCs/>
        </w:rPr>
        <w:t xml:space="preserve"> are required to correct any errors or omissions made by the Investor.</w:t>
      </w:r>
      <w:r w:rsidRPr="0063792C">
        <w:t xml:space="preserve"> </w:t>
      </w:r>
    </w:p>
    <w:p w14:paraId="45395EB3" w14:textId="77777777" w:rsidR="00C46FE4" w:rsidRPr="0063792C" w:rsidRDefault="00C46FE4" w:rsidP="00C46FE4"/>
    <w:p w14:paraId="44F2D138" w14:textId="27D83221" w:rsidR="00C46FE4" w:rsidRPr="0063792C" w:rsidRDefault="00C46FE4" w:rsidP="00C46FE4">
      <w:r w:rsidRPr="0063792C">
        <w:t>Investor funds will be held in escrow with</w:t>
      </w:r>
      <w:r>
        <w:t xml:space="preserve"> a qualified third party</w:t>
      </w:r>
      <w:r w:rsidR="00224588">
        <w:t xml:space="preserve"> escrow agent</w:t>
      </w:r>
      <w:r>
        <w:t xml:space="preserve"> meeting the requirements of Regulation CF (“</w:t>
      </w:r>
      <w:r w:rsidRPr="00142BB3">
        <w:rPr>
          <w:b/>
          <w:bCs/>
        </w:rPr>
        <w:t>Escrow Agent</w:t>
      </w:r>
      <w:r w:rsidR="00581458">
        <w:t>”</w:t>
      </w:r>
      <w:r>
        <w:t>)</w:t>
      </w:r>
      <w:r w:rsidRPr="0063792C">
        <w:t xml:space="preserve"> until the Target Offering Amount </w:t>
      </w:r>
      <w:r>
        <w:t>has been met or exceeded</w:t>
      </w:r>
      <w:r w:rsidRPr="00F25598">
        <w:t xml:space="preserve"> </w:t>
      </w:r>
      <w:r>
        <w:t>and one or more closings occur</w:t>
      </w:r>
      <w:r w:rsidRPr="0063792C">
        <w:t>. Investors may cancel an investment commitment until up to 48 hours prior to the Offering Deadline</w:t>
      </w:r>
      <w:r>
        <w:t xml:space="preserve"> or </w:t>
      </w:r>
      <w:r w:rsidR="004B5355">
        <w:t>an intermediate close</w:t>
      </w:r>
      <w:r>
        <w:t>,</w:t>
      </w:r>
      <w:r w:rsidRPr="0063792C">
        <w:t xml:space="preserve"> using the cancellation mechanism provided by the Intermediary</w:t>
      </w:r>
      <w:r>
        <w:t xml:space="preserve">.  </w:t>
      </w:r>
      <w:r w:rsidRPr="0063792C">
        <w:rPr>
          <w:b/>
          <w:bCs/>
          <w:u w:val="single"/>
        </w:rPr>
        <w:t xml:space="preserve">Investors using a credit card to invest must represent and warrant to cancel any investment commitment(s) by submitting a request through the Intermediary at least 48 hours prior to the Offering Deadline, instead of attempting to claim fraud or claw back their committed funds. </w:t>
      </w:r>
      <w:r w:rsidR="00A40607">
        <w:rPr>
          <w:b/>
          <w:bCs/>
          <w:u w:val="single"/>
        </w:rPr>
        <w:t xml:space="preserve"> If the </w:t>
      </w:r>
      <w:r w:rsidR="000E221E">
        <w:rPr>
          <w:b/>
          <w:bCs/>
          <w:u w:val="single"/>
        </w:rPr>
        <w:t>I</w:t>
      </w:r>
      <w:r w:rsidR="00A40607">
        <w:rPr>
          <w:b/>
          <w:bCs/>
          <w:u w:val="single"/>
        </w:rPr>
        <w:t xml:space="preserve">nvestor does not cancel an investment </w:t>
      </w:r>
      <w:r w:rsidR="009E6D97">
        <w:rPr>
          <w:b/>
          <w:bCs/>
          <w:u w:val="single"/>
        </w:rPr>
        <w:t xml:space="preserve">commitment </w:t>
      </w:r>
      <w:r w:rsidR="00A40607">
        <w:rPr>
          <w:b/>
          <w:bCs/>
          <w:u w:val="single"/>
        </w:rPr>
        <w:t>before the 48-hour period prior to the</w:t>
      </w:r>
      <w:r w:rsidR="009E6D97">
        <w:rPr>
          <w:b/>
          <w:bCs/>
          <w:u w:val="single"/>
        </w:rPr>
        <w:t xml:space="preserve"> </w:t>
      </w:r>
      <w:r w:rsidR="00714B86">
        <w:rPr>
          <w:b/>
          <w:bCs/>
          <w:u w:val="single"/>
        </w:rPr>
        <w:t>Offering</w:t>
      </w:r>
      <w:r w:rsidR="00A40607">
        <w:rPr>
          <w:b/>
          <w:bCs/>
          <w:u w:val="single"/>
        </w:rPr>
        <w:t xml:space="preserve"> </w:t>
      </w:r>
      <w:r w:rsidR="009E6D97">
        <w:rPr>
          <w:b/>
          <w:bCs/>
          <w:u w:val="single"/>
        </w:rPr>
        <w:t>D</w:t>
      </w:r>
      <w:r w:rsidR="00A40607">
        <w:rPr>
          <w:b/>
          <w:bCs/>
          <w:u w:val="single"/>
        </w:rPr>
        <w:t xml:space="preserve">eadline, the funds will be </w:t>
      </w:r>
      <w:r w:rsidR="00D21009">
        <w:rPr>
          <w:b/>
          <w:bCs/>
          <w:u w:val="single"/>
        </w:rPr>
        <w:t>released</w:t>
      </w:r>
      <w:r w:rsidR="00A40607">
        <w:rPr>
          <w:b/>
          <w:bCs/>
          <w:u w:val="single"/>
        </w:rPr>
        <w:t xml:space="preserve"> to the Issuer and the </w:t>
      </w:r>
      <w:r w:rsidR="000E221E">
        <w:rPr>
          <w:b/>
          <w:bCs/>
          <w:u w:val="single"/>
        </w:rPr>
        <w:t>I</w:t>
      </w:r>
      <w:r w:rsidR="00A40607">
        <w:rPr>
          <w:b/>
          <w:bCs/>
          <w:u w:val="single"/>
        </w:rPr>
        <w:t xml:space="preserve">nvestor will receive their </w:t>
      </w:r>
      <w:r w:rsidR="009E6D97">
        <w:rPr>
          <w:b/>
          <w:bCs/>
          <w:u w:val="single"/>
        </w:rPr>
        <w:t>S</w:t>
      </w:r>
      <w:r w:rsidR="00A40607">
        <w:rPr>
          <w:b/>
          <w:bCs/>
          <w:u w:val="single"/>
        </w:rPr>
        <w:t xml:space="preserve">ecurities. </w:t>
      </w:r>
    </w:p>
    <w:p w14:paraId="3251232B" w14:textId="77777777" w:rsidR="00C46FE4" w:rsidRPr="0063792C" w:rsidRDefault="00C46FE4" w:rsidP="00C46FE4">
      <w:pPr>
        <w:rPr>
          <w:b/>
          <w:bCs/>
          <w:u w:val="single"/>
        </w:rPr>
      </w:pPr>
    </w:p>
    <w:p w14:paraId="05494734" w14:textId="77777777" w:rsidR="007067E5" w:rsidRDefault="007067E5" w:rsidP="00C46FE4">
      <w:r>
        <w:t xml:space="preserve">Investment commitments made in this Offering will be represented by a pro rata beneficial interest (based on the amount invested) subject to the terms of the Instrument (attached as </w:t>
      </w:r>
      <w:r w:rsidRPr="00E4137F">
        <w:rPr>
          <w:u w:val="single"/>
        </w:rPr>
        <w:t>Exhibit B</w:t>
      </w:r>
      <w:r>
        <w:t xml:space="preserve">), Custody Agreement (attached as </w:t>
      </w:r>
      <w:r w:rsidRPr="00642A7E">
        <w:rPr>
          <w:u w:val="single"/>
        </w:rPr>
        <w:t>Exhibit C</w:t>
      </w:r>
      <w:r>
        <w:t xml:space="preserve">), and Omnibus Nominee Trust Agreement (attached as </w:t>
      </w:r>
      <w:r w:rsidRPr="00642A7E">
        <w:rPr>
          <w:u w:val="single"/>
        </w:rPr>
        <w:t>Exhibit D</w:t>
      </w:r>
      <w:r>
        <w:t>). Securities sold in this Offering will be deposited into a custodial account (“</w:t>
      </w:r>
      <w:r w:rsidRPr="00E4137F">
        <w:rPr>
          <w:b/>
          <w:bCs/>
        </w:rPr>
        <w:t>Custodial Account</w:t>
      </w:r>
      <w:r>
        <w:t>”) with Brassica Trust Company LLC, who will serve as the custodian, nominee, and legal record holder (the “</w:t>
      </w:r>
      <w:r w:rsidRPr="00E4137F">
        <w:rPr>
          <w:b/>
          <w:bCs/>
        </w:rPr>
        <w:t>Custodian</w:t>
      </w:r>
      <w:r>
        <w:t>” or “</w:t>
      </w:r>
      <w:r w:rsidRPr="00642A7E">
        <w:rPr>
          <w:b/>
          <w:bCs/>
        </w:rPr>
        <w:t>Nominee</w:t>
      </w:r>
      <w:r>
        <w:t xml:space="preserve">”). </w:t>
      </w:r>
      <w:r w:rsidRPr="008974AA">
        <w:t xml:space="preserve">In order to receive Securities from this Offering, Investors will be required to establish, or verify that they already have, an account with the Custodian. The legal title to the Securities purchased by the Investor in this Offering will be held in the name of a trust established by and maintained by </w:t>
      </w:r>
      <w:r>
        <w:t>the Nominee</w:t>
      </w:r>
      <w:r w:rsidRPr="008974AA">
        <w:t xml:space="preserve"> for the purposes of safeguarding the Securities and providing for efficiencies with respect to tax reporting, distributions and estate planning purposes related to the Securities pursuant to the terms and conditions of the Omnibus Nominee Trust Agreement attached hereto as </w:t>
      </w:r>
      <w:r w:rsidRPr="008974AA">
        <w:rPr>
          <w:u w:val="single"/>
        </w:rPr>
        <w:t>Exhibit D</w:t>
      </w:r>
      <w:r w:rsidRPr="008974AA">
        <w:t>.</w:t>
      </w:r>
    </w:p>
    <w:p w14:paraId="2F8E0978" w14:textId="77777777" w:rsidR="007067E5" w:rsidRDefault="007067E5" w:rsidP="00C46FE4"/>
    <w:p w14:paraId="6DBEE995" w14:textId="47B2C074" w:rsidR="00C46FE4" w:rsidRPr="004934DA" w:rsidRDefault="00C46FE4" w:rsidP="00C46FE4">
      <w:r w:rsidRPr="004934DA">
        <w:t xml:space="preserve">The </w:t>
      </w:r>
      <w:r w:rsidR="000E221E">
        <w:t>Issuer</w:t>
      </w:r>
      <w:r w:rsidRPr="004934DA">
        <w:t xml:space="preserve"> will</w:t>
      </w:r>
      <w:r w:rsidR="00581458" w:rsidRPr="004934DA">
        <w:t xml:space="preserve"> </w:t>
      </w:r>
      <w:r w:rsidRPr="004934DA">
        <w:t xml:space="preserve">notify Investors when the Target Offering Amount has been reached through the Intermediary. If the </w:t>
      </w:r>
      <w:r w:rsidR="000E221E">
        <w:t>Issuer</w:t>
      </w:r>
      <w:r w:rsidRPr="004934DA">
        <w:t xml:space="preserve"> reaches the Target Offering Amount prior to the Offering Deadline, it may close the Offering early </w:t>
      </w:r>
      <w:r w:rsidRPr="004934DA">
        <w:rPr>
          <w:i/>
          <w:iCs/>
        </w:rPr>
        <w:t>provided</w:t>
      </w:r>
      <w:r w:rsidRPr="004934DA">
        <w:t xml:space="preserve"> (i) the expedited Offering Deadline must be twenty-one (21) days from the time the Offering </w:t>
      </w:r>
      <w:r>
        <w:t xml:space="preserve">was </w:t>
      </w:r>
      <w:r w:rsidRPr="004934DA">
        <w:t>opened, (i</w:t>
      </w:r>
      <w:r>
        <w:t>i</w:t>
      </w:r>
      <w:r w:rsidRPr="004934DA">
        <w:t xml:space="preserve">) the Intermediary must provide at least five (5) business days’ notice prior to the expedited Offering Deadline to the Investors and (iii) the </w:t>
      </w:r>
      <w:r w:rsidR="000E221E">
        <w:t>Issuer</w:t>
      </w:r>
      <w:r w:rsidRPr="004934DA">
        <w:t xml:space="preserve"> continues to meet or exceed the Target Offering </w:t>
      </w:r>
      <w:r>
        <w:t>A</w:t>
      </w:r>
      <w:r w:rsidRPr="004934DA">
        <w:t>mount on the date of the expedited Offering Deadline.</w:t>
      </w:r>
    </w:p>
    <w:p w14:paraId="5013E579" w14:textId="77777777" w:rsidR="00C46FE4" w:rsidRPr="004934DA" w:rsidRDefault="00C46FE4" w:rsidP="00C46FE4"/>
    <w:p w14:paraId="52D5EA12" w14:textId="77777777" w:rsidR="00B97348" w:rsidRDefault="00B97348" w:rsidP="00B97348">
      <w:pPr>
        <w:pStyle w:val="Heading2"/>
      </w:pPr>
      <w:bookmarkStart w:id="6" w:name="_Toc103593637"/>
      <w:r>
        <w:t>The Deal Page</w:t>
      </w:r>
      <w:bookmarkEnd w:id="6"/>
    </w:p>
    <w:p w14:paraId="73819C03" w14:textId="77777777" w:rsidR="00B97348" w:rsidRDefault="00B97348" w:rsidP="00B97348"/>
    <w:p w14:paraId="4E4B195F" w14:textId="72AC078A" w:rsidR="00B97348" w:rsidRPr="00BF7474" w:rsidRDefault="00B97348" w:rsidP="00B97348">
      <w:r w:rsidRPr="0063792C">
        <w:t xml:space="preserve">A description of our products, services and business plan can be found on the </w:t>
      </w:r>
      <w:r w:rsidR="000E221E">
        <w:t>Issuer</w:t>
      </w:r>
      <w:r w:rsidRPr="0063792C">
        <w:t xml:space="preserve">’s profile page on the Intermediary’s website under </w:t>
      </w:r>
      <w:hyperlink r:id="rId13" w:history="1">
        <w:r w:rsidR="00BF7474" w:rsidRPr="00741358">
          <w:rPr>
            <w:rStyle w:val="Hyperlink"/>
          </w:rPr>
          <w:t>https://republic.com/startglobal</w:t>
        </w:r>
      </w:hyperlink>
      <w:r w:rsidRPr="0063792C">
        <w:t xml:space="preserve"> </w:t>
      </w:r>
      <w:r>
        <w:t xml:space="preserve">(the </w:t>
      </w:r>
      <w:r w:rsidRPr="00BD59DC">
        <w:rPr>
          <w:b/>
        </w:rPr>
        <w:t>“Deal Page”</w:t>
      </w:r>
      <w:r>
        <w:t xml:space="preserve">). The Deal Page can be used by </w:t>
      </w:r>
      <w:r>
        <w:lastRenderedPageBreak/>
        <w:t xml:space="preserve">prospective Investors to ask the </w:t>
      </w:r>
      <w:r w:rsidR="000E221E">
        <w:t>Issuer</w:t>
      </w:r>
      <w:r>
        <w:t xml:space="preserve"> questions and for the </w:t>
      </w:r>
      <w:r w:rsidR="000E221E">
        <w:t>Issuer</w:t>
      </w:r>
      <w:r>
        <w:t xml:space="preserve"> to post immaterial updates to this Form C as well as make general announcements. You should view </w:t>
      </w:r>
      <w:r w:rsidRPr="00BD59DC">
        <w:t xml:space="preserve">the </w:t>
      </w:r>
      <w:r>
        <w:t>Deal Page at the time you consider making an investment commitment.</w:t>
      </w:r>
      <w:r w:rsidRPr="0063792C">
        <w:t xml:space="preserve"> Updates on the status of this Offering </w:t>
      </w:r>
      <w:r>
        <w:t xml:space="preserve">can also be </w:t>
      </w:r>
      <w:r w:rsidRPr="0063792C">
        <w:t xml:space="preserve">found </w:t>
      </w:r>
      <w:r>
        <w:t>on the Deal Page.</w:t>
      </w:r>
    </w:p>
    <w:p w14:paraId="328FA6E5" w14:textId="77777777" w:rsidR="00B97348" w:rsidRDefault="00B97348" w:rsidP="00C46FE4">
      <w:pPr>
        <w:rPr>
          <w:b/>
          <w:bCs/>
        </w:rPr>
      </w:pPr>
    </w:p>
    <w:p w14:paraId="265745F9" w14:textId="4E7CFCD5" w:rsidR="00C46FE4" w:rsidRDefault="00C46FE4" w:rsidP="00C46FE4">
      <w:pPr>
        <w:rPr>
          <w:b/>
          <w:bCs/>
        </w:rPr>
      </w:pPr>
      <w:r w:rsidRPr="004934DA">
        <w:rPr>
          <w:b/>
          <w:bCs/>
        </w:rPr>
        <w:t>Material Changes</w:t>
      </w:r>
    </w:p>
    <w:p w14:paraId="7D243453" w14:textId="77777777" w:rsidR="00C46FE4" w:rsidRPr="004934DA" w:rsidRDefault="00C46FE4" w:rsidP="00C46FE4">
      <w:pPr>
        <w:rPr>
          <w:b/>
          <w:bCs/>
        </w:rPr>
      </w:pPr>
    </w:p>
    <w:p w14:paraId="70F8504E" w14:textId="37AD4F1B" w:rsidR="00C46FE4" w:rsidRPr="004934DA" w:rsidRDefault="00C46FE4" w:rsidP="00C46FE4">
      <w:pPr>
        <w:rPr>
          <w:b/>
          <w:bCs/>
          <w:u w:val="single"/>
        </w:rPr>
      </w:pPr>
      <w:r w:rsidRPr="004934DA">
        <w:t xml:space="preserve">If any material change occurs related to the Offering prior to the current Offering Deadline the </w:t>
      </w:r>
      <w:r w:rsidR="000E221E">
        <w:t>Issuer</w:t>
      </w:r>
      <w:r w:rsidRPr="004934DA">
        <w:t xml:space="preserve"> will provide notice to Investors and receive reconfirmations from Investors who have already made commitments. If an Investor does not reconfirm their investment commitment after a material change is made to the terms of the Offering within five (5) business days of receiving notice, the Investor’s investment commitment will be canceled and the committed funds will be returned without interest or deductions. </w:t>
      </w:r>
    </w:p>
    <w:p w14:paraId="012DBFCB" w14:textId="77777777" w:rsidR="00C46FE4" w:rsidRPr="004934DA" w:rsidRDefault="00C46FE4" w:rsidP="00C46FE4">
      <w:pPr>
        <w:rPr>
          <w:b/>
          <w:bCs/>
        </w:rPr>
      </w:pPr>
    </w:p>
    <w:p w14:paraId="5323812C" w14:textId="77777777" w:rsidR="00C46FE4" w:rsidRDefault="00C46FE4" w:rsidP="00C46FE4">
      <w:pPr>
        <w:rPr>
          <w:b/>
          <w:bCs/>
        </w:rPr>
      </w:pPr>
      <w:r w:rsidRPr="004934DA">
        <w:rPr>
          <w:b/>
          <w:bCs/>
        </w:rPr>
        <w:t>Intermediate Closings</w:t>
      </w:r>
    </w:p>
    <w:p w14:paraId="141F5832" w14:textId="77777777" w:rsidR="00C46FE4" w:rsidRPr="004934DA" w:rsidRDefault="00C46FE4" w:rsidP="00C46FE4"/>
    <w:p w14:paraId="118721A0" w14:textId="12BC5582" w:rsidR="00C46FE4" w:rsidRDefault="00C46FE4" w:rsidP="00C46FE4">
      <w:r w:rsidRPr="004934DA">
        <w:t xml:space="preserve">In the event an amount equal to two (2) times the Target Offering Amount is committed and meets all required terms of the Offering prior to the Offering Deadline on such date or such later time the </w:t>
      </w:r>
      <w:r w:rsidR="000E221E">
        <w:t>Issuer</w:t>
      </w:r>
      <w:r w:rsidRPr="004934DA">
        <w:t xml:space="preserve"> designates pursuant to Rule 304(b) of Regulation CF, the </w:t>
      </w:r>
      <w:r w:rsidR="000E221E">
        <w:t>Issuer</w:t>
      </w:r>
      <w:r w:rsidRPr="004934DA">
        <w:t xml:space="preserve"> may conduct the first of multiple closings of the Offering early, </w:t>
      </w:r>
      <w:r w:rsidRPr="004934DA">
        <w:rPr>
          <w:i/>
          <w:iCs/>
        </w:rPr>
        <w:t>provided</w:t>
      </w:r>
      <w:r w:rsidRPr="004934DA">
        <w:t xml:space="preserve"> (i) the </w:t>
      </w:r>
      <w:r>
        <w:t>early closing date</w:t>
      </w:r>
      <w:r w:rsidRPr="004934DA">
        <w:t xml:space="preserve"> must be twenty-one (21) days from the time the Offering opened and (ii)</w:t>
      </w:r>
      <w:r>
        <w:t xml:space="preserve"> </w:t>
      </w:r>
      <w:r w:rsidRPr="004934DA">
        <w:t xml:space="preserve">that all Investors will receive notice of </w:t>
      </w:r>
      <w:r>
        <w:t>such</w:t>
      </w:r>
      <w:r w:rsidRPr="00D746A9">
        <w:t xml:space="preserve"> </w:t>
      </w:r>
      <w:r>
        <w:t>early closing date</w:t>
      </w:r>
      <w:r w:rsidRPr="004934DA">
        <w:t xml:space="preserve"> at least five (5) business days prior to such new offering deadline (absent a material change that would require an extension of the Offering and reconfirmation of all investment commitments). Investors who committed on the date such notice is provided or prior to the issuance of such notice will be able to cancel their investment commitment until 48 hours before </w:t>
      </w:r>
      <w:r>
        <w:t>such</w:t>
      </w:r>
      <w:r w:rsidRPr="00D746A9">
        <w:t xml:space="preserve"> </w:t>
      </w:r>
      <w:r>
        <w:t>early closing date</w:t>
      </w:r>
      <w:r w:rsidRPr="004934DA">
        <w:t xml:space="preserve">. </w:t>
      </w:r>
    </w:p>
    <w:p w14:paraId="0821B817" w14:textId="77777777" w:rsidR="00C46FE4" w:rsidRPr="004934DA" w:rsidRDefault="00C46FE4" w:rsidP="00C46FE4"/>
    <w:p w14:paraId="10A01057" w14:textId="7F59BA98" w:rsidR="00C46FE4" w:rsidRPr="004934DA" w:rsidRDefault="00C46FE4" w:rsidP="00C46FE4">
      <w:r w:rsidRPr="004934DA">
        <w:t xml:space="preserve">If the </w:t>
      </w:r>
      <w:r w:rsidR="000E221E">
        <w:t>Issuer</w:t>
      </w:r>
      <w:r w:rsidRPr="004934DA">
        <w:t xml:space="preserve"> conducts an initial closing (the “</w:t>
      </w:r>
      <w:r w:rsidRPr="004934DA">
        <w:rPr>
          <w:b/>
          <w:bCs/>
        </w:rPr>
        <w:t>Initial Closing</w:t>
      </w:r>
      <w:r w:rsidRPr="004934DA">
        <w:t xml:space="preserve">”), the </w:t>
      </w:r>
      <w:r w:rsidR="000E221E">
        <w:t>Issuer</w:t>
      </w:r>
      <w:r w:rsidRPr="004934DA">
        <w:t xml:space="preserve"> agrees to only withdraw </w:t>
      </w:r>
      <w:r>
        <w:t>seventy percent (70%)</w:t>
      </w:r>
      <w:r w:rsidRPr="004934DA">
        <w:t xml:space="preserve"> of the proceeds that are in escrow and will only conduct such Initial Closing if there are more than twenty-one (21) days remaining before the Offering Deadline as of the date of the Initial Closing. The </w:t>
      </w:r>
      <w:r w:rsidR="000E221E">
        <w:t>Issuer</w:t>
      </w:r>
      <w:r w:rsidRPr="004934DA">
        <w:t xml:space="preserve"> may only conduct another close (a “</w:t>
      </w:r>
      <w:r w:rsidRPr="004934DA">
        <w:rPr>
          <w:b/>
          <w:bCs/>
        </w:rPr>
        <w:t>Subsequent Closing</w:t>
      </w:r>
      <w:r w:rsidRPr="004934DA">
        <w:t xml:space="preserve">”) before the Offering Deadline if the amount of investment commitments made </w:t>
      </w:r>
      <w:r>
        <w:t>as of</w:t>
      </w:r>
      <w:r w:rsidRPr="004934DA">
        <w:t xml:space="preserve"> the date of such Subsequent Closing exceeds two times the </w:t>
      </w:r>
      <w:r>
        <w:t>Target Offering Amount</w:t>
      </w:r>
      <w:r w:rsidRPr="004934DA">
        <w:t xml:space="preserve"> </w:t>
      </w:r>
      <w:r>
        <w:t>as of</w:t>
      </w:r>
      <w:r w:rsidRPr="004934DA">
        <w:t xml:space="preserve"> the date of the Initial Closing and there are more than twenty-one (21) days remain</w:t>
      </w:r>
      <w:r>
        <w:t>ing</w:t>
      </w:r>
      <w:r w:rsidRPr="004934DA">
        <w:t xml:space="preserve"> before the Offering Deadline as of the date of such Subsequent Closing. </w:t>
      </w:r>
    </w:p>
    <w:p w14:paraId="679FA61B" w14:textId="77777777" w:rsidR="00C46FE4" w:rsidRPr="004934DA" w:rsidRDefault="00C46FE4" w:rsidP="00C46FE4"/>
    <w:p w14:paraId="72B4451A" w14:textId="4762E1E1" w:rsidR="00C46FE4" w:rsidRPr="004934DA" w:rsidRDefault="00C46FE4" w:rsidP="00C46FE4">
      <w:r w:rsidRPr="004934DA">
        <w:t xml:space="preserve">Any investment commitments received after an intermediate closing will be released to the </w:t>
      </w:r>
      <w:r w:rsidR="000E221E">
        <w:t>Issuer</w:t>
      </w:r>
      <w:r w:rsidRPr="004934DA">
        <w:t xml:space="preserve"> upon a subsequent closing and the Investor will receive evidence of the Securities via electronic certificate/PDF in exchange for their investment commitment as soon as practicable thereafter.</w:t>
      </w:r>
    </w:p>
    <w:p w14:paraId="08CBFAD9" w14:textId="77777777" w:rsidR="00C46FE4" w:rsidRPr="004934DA" w:rsidRDefault="00C46FE4" w:rsidP="00C46FE4"/>
    <w:p w14:paraId="146308D0" w14:textId="50A0F1F2" w:rsidR="00C46FE4" w:rsidRPr="0063792C" w:rsidRDefault="00C46FE4" w:rsidP="00C46FE4">
      <w:r w:rsidRPr="004934DA">
        <w:t xml:space="preserve">The </w:t>
      </w:r>
      <w:r w:rsidR="000E221E">
        <w:t>Issuer</w:t>
      </w:r>
      <w:r w:rsidRPr="004934DA">
        <w:t xml:space="preserve"> has agreed to return all funds to Investors in the event a Form C-W is ultimately filed in relation to this Offering, regardless of whether multiple closings are conducted.</w:t>
      </w:r>
      <w:r w:rsidRPr="004934DA" w:rsidDel="004934DA">
        <w:rPr>
          <w:highlight w:val="yellow"/>
        </w:rPr>
        <w:t xml:space="preserve"> </w:t>
      </w:r>
    </w:p>
    <w:p w14:paraId="3655CCF5" w14:textId="77777777" w:rsidR="00C46FE4" w:rsidRPr="0063792C" w:rsidRDefault="00C46FE4" w:rsidP="00C46FE4"/>
    <w:p w14:paraId="14A4B217" w14:textId="18412830" w:rsidR="00C46FE4" w:rsidRPr="0063792C" w:rsidRDefault="00C46FE4" w:rsidP="00C46FE4">
      <w:r>
        <w:t>Investment commitments</w:t>
      </w:r>
      <w:r w:rsidRPr="0063792C">
        <w:t xml:space="preserve"> are not binding on the </w:t>
      </w:r>
      <w:r w:rsidR="000E221E">
        <w:t>Issuer</w:t>
      </w:r>
      <w:r w:rsidRPr="0063792C">
        <w:t xml:space="preserve"> until they are accepted by the </w:t>
      </w:r>
      <w:r w:rsidR="000E221E">
        <w:t>Issuer</w:t>
      </w:r>
      <w:r w:rsidRPr="0063792C">
        <w:t xml:space="preserve">, which reserves the right to reject, in whole or in part, in its sole and absolute discretion, any </w:t>
      </w:r>
      <w:r>
        <w:t>investment commitment</w:t>
      </w:r>
      <w:r w:rsidRPr="0063792C">
        <w:t xml:space="preserve">. If the </w:t>
      </w:r>
      <w:r w:rsidR="00B22284">
        <w:t>Issuer</w:t>
      </w:r>
      <w:r w:rsidRPr="0063792C">
        <w:t xml:space="preserve"> rejects all or a portion of any </w:t>
      </w:r>
      <w:r>
        <w:t>investment commitment</w:t>
      </w:r>
      <w:r w:rsidRPr="0063792C">
        <w:t>, the applicable prospective Investor’s funds will be returned without interest or deduction.</w:t>
      </w:r>
    </w:p>
    <w:p w14:paraId="61534A03" w14:textId="77777777" w:rsidR="00C46FE4" w:rsidRPr="0063792C" w:rsidRDefault="00C46FE4" w:rsidP="00C46FE4"/>
    <w:p w14:paraId="534B3705" w14:textId="77777777" w:rsidR="00C46FE4" w:rsidRPr="0063792C" w:rsidRDefault="00C46FE4" w:rsidP="00C46FE4">
      <w:pPr>
        <w:pStyle w:val="Heading2"/>
      </w:pPr>
      <w:bookmarkStart w:id="7" w:name="_Toc103593638"/>
      <w:r w:rsidRPr="0063792C">
        <w:t>The Securities</w:t>
      </w:r>
      <w:bookmarkEnd w:id="7"/>
    </w:p>
    <w:p w14:paraId="078AA42B" w14:textId="77777777" w:rsidR="00C46FE4" w:rsidRPr="0063792C" w:rsidRDefault="00C46FE4" w:rsidP="00C46FE4"/>
    <w:p w14:paraId="6CC8C7EE" w14:textId="05B35658" w:rsidR="00C46FE4" w:rsidRPr="0063792C" w:rsidRDefault="00C46FE4" w:rsidP="00C46FE4">
      <w:r w:rsidRPr="0063792C">
        <w:t xml:space="preserve">We request that you please review this Form C and the </w:t>
      </w:r>
      <w:r w:rsidR="00276941">
        <w:t>I</w:t>
      </w:r>
      <w:r w:rsidRPr="0063792C">
        <w:t xml:space="preserve">nstrument attached as </w:t>
      </w:r>
      <w:r w:rsidRPr="0063792C">
        <w:rPr>
          <w:u w:val="single"/>
        </w:rPr>
        <w:t xml:space="preserve">Exhibit </w:t>
      </w:r>
      <w:r>
        <w:rPr>
          <w:u w:val="single"/>
        </w:rPr>
        <w:t>B</w:t>
      </w:r>
      <w:r w:rsidRPr="0063792C">
        <w:t>, in conjunction with the following summary information.</w:t>
      </w:r>
    </w:p>
    <w:p w14:paraId="6DAAEC25" w14:textId="77777777" w:rsidR="00C46FE4" w:rsidRPr="0063792C" w:rsidRDefault="00C46FE4" w:rsidP="00C46FE4"/>
    <w:p w14:paraId="2D275A79" w14:textId="77777777" w:rsidR="00C46FE4" w:rsidRPr="0063792C" w:rsidRDefault="00C46FE4" w:rsidP="00C46FE4">
      <w:pPr>
        <w:rPr>
          <w:i/>
          <w:iCs/>
        </w:rPr>
      </w:pPr>
      <w:r w:rsidRPr="0063792C">
        <w:rPr>
          <w:b/>
          <w:bCs/>
          <w:i/>
          <w:iCs/>
        </w:rPr>
        <w:t>Not Currently Equity Interests</w:t>
      </w:r>
    </w:p>
    <w:p w14:paraId="59C6A999" w14:textId="77777777" w:rsidR="00C46FE4" w:rsidRPr="0063792C" w:rsidRDefault="00C46FE4" w:rsidP="00C46FE4"/>
    <w:p w14:paraId="35654406" w14:textId="685D8878" w:rsidR="00C46FE4" w:rsidRPr="0063792C" w:rsidRDefault="00C46FE4" w:rsidP="00C46FE4">
      <w:r w:rsidRPr="0063792C">
        <w:t xml:space="preserve">The Securities are not currently equity interests in the </w:t>
      </w:r>
      <w:r w:rsidR="000E221E">
        <w:t>Issuer</w:t>
      </w:r>
      <w:r w:rsidRPr="0063792C">
        <w:t xml:space="preserve"> and merely provide a right to receive equity at some point in the future upon the occurrence of certain events</w:t>
      </w:r>
      <w:r>
        <w:t xml:space="preserve"> (which may or may not occur)</w:t>
      </w:r>
      <w:r w:rsidRPr="0063792C">
        <w:t>.</w:t>
      </w:r>
    </w:p>
    <w:p w14:paraId="08EF742C" w14:textId="77777777" w:rsidR="00C46FE4" w:rsidRPr="0063792C" w:rsidRDefault="00C46FE4" w:rsidP="00C46FE4">
      <w:pPr>
        <w:rPr>
          <w:b/>
          <w:bCs/>
        </w:rPr>
      </w:pPr>
    </w:p>
    <w:p w14:paraId="6548753A" w14:textId="77777777" w:rsidR="00C46FE4" w:rsidRPr="0063792C" w:rsidRDefault="00C46FE4" w:rsidP="00C46FE4">
      <w:pPr>
        <w:rPr>
          <w:i/>
          <w:iCs/>
        </w:rPr>
      </w:pPr>
      <w:r w:rsidRPr="0063792C">
        <w:rPr>
          <w:b/>
          <w:bCs/>
          <w:i/>
          <w:iCs/>
        </w:rPr>
        <w:t>Dividends</w:t>
      </w:r>
      <w:r>
        <w:rPr>
          <w:b/>
          <w:bCs/>
          <w:i/>
          <w:iCs/>
        </w:rPr>
        <w:t xml:space="preserve"> and/or Distributions</w:t>
      </w:r>
    </w:p>
    <w:p w14:paraId="27C62995" w14:textId="77777777" w:rsidR="00C46FE4" w:rsidRPr="0063792C" w:rsidRDefault="00C46FE4" w:rsidP="00C46FE4"/>
    <w:p w14:paraId="7836081A" w14:textId="77777777" w:rsidR="00C46FE4" w:rsidRDefault="00C46FE4" w:rsidP="00C46FE4">
      <w:r w:rsidRPr="0063792C">
        <w:t>The Securities do not entitle Investors to any dividends.</w:t>
      </w:r>
    </w:p>
    <w:p w14:paraId="4BE1B884" w14:textId="77777777" w:rsidR="00C46FE4" w:rsidRDefault="00C46FE4" w:rsidP="00C46FE4"/>
    <w:p w14:paraId="2EC04BCB" w14:textId="77777777" w:rsidR="007067E5" w:rsidRDefault="007067E5">
      <w:pPr>
        <w:jc w:val="left"/>
        <w:rPr>
          <w:b/>
          <w:bCs/>
          <w:i/>
          <w:iCs/>
        </w:rPr>
      </w:pPr>
    </w:p>
    <w:p w14:paraId="1BD201E3" w14:textId="77777777" w:rsidR="00705431" w:rsidRDefault="00705431">
      <w:pPr>
        <w:jc w:val="left"/>
        <w:rPr>
          <w:b/>
          <w:bCs/>
          <w:i/>
          <w:iCs/>
        </w:rPr>
      </w:pPr>
      <w:r>
        <w:rPr>
          <w:b/>
          <w:bCs/>
          <w:i/>
          <w:iCs/>
        </w:rPr>
        <w:br w:type="page"/>
      </w:r>
    </w:p>
    <w:p w14:paraId="3A01B3C2" w14:textId="2E660B73" w:rsidR="00C46FE4" w:rsidRPr="0063792C" w:rsidRDefault="00C46FE4" w:rsidP="00C46FE4">
      <w:pPr>
        <w:rPr>
          <w:i/>
          <w:iCs/>
        </w:rPr>
      </w:pPr>
      <w:r w:rsidRPr="0063792C">
        <w:rPr>
          <w:b/>
          <w:bCs/>
          <w:i/>
          <w:iCs/>
        </w:rPr>
        <w:lastRenderedPageBreak/>
        <w:t>Conversion</w:t>
      </w:r>
    </w:p>
    <w:p w14:paraId="6E59F69C" w14:textId="77777777" w:rsidR="00C46FE4" w:rsidRPr="0063792C" w:rsidRDefault="00C46FE4" w:rsidP="00C46FE4"/>
    <w:p w14:paraId="0C56B669" w14:textId="528B3C1C" w:rsidR="00C46FE4" w:rsidRPr="0063792C" w:rsidRDefault="00C46FE4" w:rsidP="00C46FE4">
      <w:r w:rsidRPr="0063792C">
        <w:t xml:space="preserve">Upon </w:t>
      </w:r>
      <w:r w:rsidR="0024654A">
        <w:t xml:space="preserve">the next sale (or series of related sales) by the </w:t>
      </w:r>
      <w:r w:rsidR="000E221E">
        <w:t>Issuer</w:t>
      </w:r>
      <w:r w:rsidR="0024654A">
        <w:t xml:space="preserve"> of its Capital Stock to one or more third parties</w:t>
      </w:r>
      <w:r w:rsidRPr="0063792C">
        <w:t xml:space="preserve"> resulting in</w:t>
      </w:r>
      <w:r w:rsidR="0024654A">
        <w:t xml:space="preserve"> gross</w:t>
      </w:r>
      <w:r w:rsidRPr="0063792C">
        <w:t xml:space="preserve"> proceeds to the </w:t>
      </w:r>
      <w:r w:rsidR="000E221E">
        <w:t>Issuer</w:t>
      </w:r>
      <w:r w:rsidRPr="0063792C">
        <w:t xml:space="preserve"> of </w:t>
      </w:r>
      <w:r>
        <w:t>not less</w:t>
      </w:r>
      <w:r w:rsidRPr="0063792C">
        <w:t xml:space="preserve"> than $</w:t>
      </w:r>
      <w:r w:rsidRPr="00CE7FD9">
        <w:t>1,000,000</w:t>
      </w:r>
      <w:r w:rsidRPr="0063792C">
        <w:t xml:space="preserve"> </w:t>
      </w:r>
      <w:r w:rsidR="0024654A">
        <w:t xml:space="preserve">cash and cash equivalent </w:t>
      </w:r>
      <w:r w:rsidRPr="0063792C">
        <w:t>(each an “</w:t>
      </w:r>
      <w:r w:rsidRPr="0063792C">
        <w:rPr>
          <w:b/>
          <w:bCs/>
        </w:rPr>
        <w:t>Equity Financing</w:t>
      </w:r>
      <w:r w:rsidRPr="0063792C">
        <w:t xml:space="preserve">”), the Securities are </w:t>
      </w:r>
      <w:r w:rsidR="007067E5">
        <w:t>automatically</w:t>
      </w:r>
      <w:r w:rsidR="007067E5" w:rsidRPr="0063792C">
        <w:t xml:space="preserve"> </w:t>
      </w:r>
      <w:r w:rsidRPr="0063792C">
        <w:t xml:space="preserve">convertible </w:t>
      </w:r>
      <w:r>
        <w:t>into shares of the securities issued in said Equity Financing</w:t>
      </w:r>
      <w:r w:rsidRPr="0063792C">
        <w:t>.</w:t>
      </w:r>
    </w:p>
    <w:p w14:paraId="75A097CF" w14:textId="77777777" w:rsidR="00C46FE4" w:rsidRPr="0063792C" w:rsidRDefault="00C46FE4" w:rsidP="00C46FE4">
      <w:pPr>
        <w:rPr>
          <w:b/>
          <w:bCs/>
        </w:rPr>
      </w:pPr>
    </w:p>
    <w:p w14:paraId="2CECCCD9" w14:textId="3B82B680" w:rsidR="00C46FE4" w:rsidRPr="0063792C" w:rsidRDefault="00C46FE4" w:rsidP="00C46FE4">
      <w:pPr>
        <w:rPr>
          <w:u w:val="single"/>
        </w:rPr>
      </w:pPr>
      <w:r w:rsidRPr="0063792C">
        <w:rPr>
          <w:i/>
          <w:iCs/>
          <w:u w:val="single"/>
        </w:rPr>
        <w:t xml:space="preserve">Conversion Upon </w:t>
      </w:r>
      <w:r w:rsidR="00620B20">
        <w:rPr>
          <w:i/>
          <w:iCs/>
          <w:u w:val="single"/>
        </w:rPr>
        <w:t>An</w:t>
      </w:r>
      <w:r w:rsidRPr="0063792C">
        <w:rPr>
          <w:i/>
          <w:iCs/>
          <w:u w:val="single"/>
        </w:rPr>
        <w:t xml:space="preserve"> Equity Financing</w:t>
      </w:r>
    </w:p>
    <w:p w14:paraId="137B62FF" w14:textId="77777777" w:rsidR="00C46FE4" w:rsidRPr="00540D33" w:rsidRDefault="00C46FE4" w:rsidP="00C46FE4">
      <w:pPr>
        <w:rPr>
          <w:bCs/>
        </w:rPr>
      </w:pPr>
    </w:p>
    <w:p w14:paraId="7F919305" w14:textId="21735FF8" w:rsidR="00C46FE4" w:rsidRPr="00540D33" w:rsidRDefault="007067E5" w:rsidP="00C46FE4">
      <w:pPr>
        <w:pStyle w:val="Heading1"/>
        <w:rPr>
          <w:b w:val="0"/>
          <w:bCs/>
        </w:rPr>
      </w:pPr>
      <w:bookmarkStart w:id="8" w:name="_Toc103593639"/>
      <w:r>
        <w:rPr>
          <w:b w:val="0"/>
          <w:bCs/>
        </w:rPr>
        <w:t>Upon an Equity Financing</w:t>
      </w:r>
      <w:r w:rsidR="00C46FE4" w:rsidRPr="00540D33">
        <w:rPr>
          <w:b w:val="0"/>
          <w:bCs/>
        </w:rPr>
        <w:t>, the Investor will receive the number of securities equal to the greater of the quotient obtained by dividing the amount the Investor paid for the Securities (the “</w:t>
      </w:r>
      <w:r w:rsidR="000E221E">
        <w:t>Purchase</w:t>
      </w:r>
      <w:r w:rsidR="00F92CDF" w:rsidRPr="00660B5D">
        <w:t xml:space="preserve"> </w:t>
      </w:r>
      <w:r w:rsidR="00C46FE4" w:rsidRPr="00660B5D">
        <w:t>Amount</w:t>
      </w:r>
      <w:r w:rsidR="00C46FE4" w:rsidRPr="00540D33">
        <w:rPr>
          <w:b w:val="0"/>
          <w:bCs/>
        </w:rPr>
        <w:t>”) by (a) or (b) immediately below:</w:t>
      </w:r>
      <w:bookmarkEnd w:id="8"/>
    </w:p>
    <w:p w14:paraId="0EC22479" w14:textId="77777777" w:rsidR="00C46FE4" w:rsidRPr="0063792C" w:rsidRDefault="00C46FE4" w:rsidP="00C46FE4"/>
    <w:p w14:paraId="48FE00F6" w14:textId="614A58DA" w:rsidR="00C46FE4" w:rsidRPr="0063792C" w:rsidRDefault="00AA79AE" w:rsidP="00AA79AE">
      <w:r>
        <w:t xml:space="preserve">(a) </w:t>
      </w:r>
      <w:r w:rsidR="00C46FE4" w:rsidRPr="0063792C">
        <w:t>the quotient of $</w:t>
      </w:r>
      <w:r w:rsidR="0008080B" w:rsidRPr="002507AC">
        <w:t>1</w:t>
      </w:r>
      <w:r w:rsidR="002507AC" w:rsidRPr="002507AC">
        <w:t>2</w:t>
      </w:r>
      <w:r w:rsidR="00C46FE4" w:rsidRPr="002507AC">
        <w:t>,</w:t>
      </w:r>
      <w:r w:rsidR="002507AC" w:rsidRPr="002507AC">
        <w:t>5</w:t>
      </w:r>
      <w:r w:rsidR="00C46FE4" w:rsidRPr="002507AC">
        <w:t>00,000</w:t>
      </w:r>
      <w:r w:rsidR="00C46FE4" w:rsidRPr="0063792C">
        <w:t xml:space="preserve"> </w:t>
      </w:r>
      <w:r w:rsidR="009E6D97">
        <w:t>(“</w:t>
      </w:r>
      <w:r w:rsidR="007067E5">
        <w:rPr>
          <w:b/>
          <w:bCs/>
        </w:rPr>
        <w:t xml:space="preserve">Pre-Money </w:t>
      </w:r>
      <w:r w:rsidR="009E6D97" w:rsidRPr="00660B5D">
        <w:rPr>
          <w:b/>
          <w:bCs/>
        </w:rPr>
        <w:t>Valuation Cap</w:t>
      </w:r>
      <w:r w:rsidR="009E6D97">
        <w:t xml:space="preserve">”) </w:t>
      </w:r>
      <w:r w:rsidR="00C46FE4" w:rsidRPr="0063792C">
        <w:t>divided by the aggregate number of issued and outstanding shares of capital stock, assuming full conversion or exercise of all convertible and exercisable securities then outstanding, including shares of convertible preferred stock and all outstanding vested or unvested options or warrants to purchase capital stock, but excluding (i) shares of capital stock reserved for future issuance under any equity incentive or similar plan, (ii) convertible promissory notes, (iii) any Simple Agreements for Future Equity, including the Securities (collectively, “</w:t>
      </w:r>
      <w:r w:rsidR="00C46FE4" w:rsidRPr="00AA79AE">
        <w:rPr>
          <w:b/>
          <w:bCs/>
        </w:rPr>
        <w:t>S</w:t>
      </w:r>
      <w:r w:rsidR="005D5DA5">
        <w:rPr>
          <w:b/>
          <w:bCs/>
        </w:rPr>
        <w:t>AFE</w:t>
      </w:r>
      <w:r w:rsidR="00C46FE4" w:rsidRPr="00AA79AE">
        <w:rPr>
          <w:b/>
          <w:bCs/>
        </w:rPr>
        <w:t>s</w:t>
      </w:r>
      <w:r w:rsidR="00C46FE4" w:rsidRPr="0063792C">
        <w:t>”), and (iv) any equity securities that are issuable upon conversion of any outstanding convertible promissory notes or S</w:t>
      </w:r>
      <w:r w:rsidR="005D5DA5">
        <w:t>AFE</w:t>
      </w:r>
      <w:r w:rsidR="00C46FE4" w:rsidRPr="0063792C">
        <w:t>s;</w:t>
      </w:r>
    </w:p>
    <w:p w14:paraId="5377B063" w14:textId="77777777" w:rsidR="00C46FE4" w:rsidRPr="0063792C" w:rsidRDefault="00C46FE4" w:rsidP="00C46FE4"/>
    <w:p w14:paraId="31B6A9B2" w14:textId="77777777" w:rsidR="00C46FE4" w:rsidRPr="0063792C" w:rsidRDefault="00C46FE4" w:rsidP="00C46FE4">
      <w:r w:rsidRPr="00125BCE">
        <w:t>OR</w:t>
      </w:r>
    </w:p>
    <w:p w14:paraId="4798E270" w14:textId="77777777" w:rsidR="00C46FE4" w:rsidRPr="0063792C" w:rsidRDefault="00C46FE4" w:rsidP="00C46FE4"/>
    <w:p w14:paraId="4F33B52F" w14:textId="623577A5" w:rsidR="00C46FE4" w:rsidRPr="0063792C" w:rsidRDefault="00C46FE4" w:rsidP="00C46FE4">
      <w:r w:rsidRPr="0008080B">
        <w:t xml:space="preserve">(b) if the pre-money valuation of the </w:t>
      </w:r>
      <w:r w:rsidR="000E221E" w:rsidRPr="0008080B">
        <w:t>Issuer</w:t>
      </w:r>
      <w:r w:rsidRPr="0008080B">
        <w:t xml:space="preserve"> immediately prior to the Equity Financing is less than </w:t>
      </w:r>
      <w:r w:rsidRPr="0008080B">
        <w:rPr>
          <w:u w:val="single"/>
        </w:rPr>
        <w:t>or</w:t>
      </w:r>
      <w:r w:rsidRPr="0008080B">
        <w:t xml:space="preserve"> equal to the </w:t>
      </w:r>
      <w:r w:rsidR="007067E5">
        <w:t xml:space="preserve">Pre-Money </w:t>
      </w:r>
      <w:r w:rsidRPr="0008080B">
        <w:t>Valuation Cap, the lowest price per share of the securities sold in such Equity Financing.</w:t>
      </w:r>
    </w:p>
    <w:p w14:paraId="0DBAA564" w14:textId="77777777" w:rsidR="00C46FE4" w:rsidRPr="0063792C" w:rsidRDefault="00C46FE4" w:rsidP="00C46FE4"/>
    <w:p w14:paraId="4C67B496" w14:textId="383BEAE1" w:rsidR="00C46FE4" w:rsidRPr="0063792C" w:rsidRDefault="00C46FE4" w:rsidP="00C46FE4">
      <w:r w:rsidRPr="0063792C">
        <w:t xml:space="preserve">Such </w:t>
      </w:r>
      <w:r w:rsidR="009E6D97">
        <w:t>c</w:t>
      </w:r>
      <w:r w:rsidRPr="0063792C">
        <w:t xml:space="preserve">onversion </w:t>
      </w:r>
      <w:r w:rsidR="009E6D97">
        <w:t>p</w:t>
      </w:r>
      <w:r w:rsidRPr="0063792C">
        <w:t>rice</w:t>
      </w:r>
      <w:r w:rsidR="00F92CDF">
        <w:t xml:space="preserve"> </w:t>
      </w:r>
      <w:r w:rsidRPr="0063792C">
        <w:t>shall be deemed the “</w:t>
      </w:r>
      <w:r w:rsidRPr="0063792C">
        <w:rPr>
          <w:b/>
          <w:bCs/>
        </w:rPr>
        <w:t>Equity Financing Price</w:t>
      </w:r>
      <w:r w:rsidRPr="0063792C">
        <w:t>”.</w:t>
      </w:r>
    </w:p>
    <w:p w14:paraId="4187AE5E" w14:textId="77777777" w:rsidR="00C46FE4" w:rsidRDefault="00C46FE4" w:rsidP="00C46FE4"/>
    <w:p w14:paraId="75054523" w14:textId="1ADE0953" w:rsidR="00C46FE4" w:rsidRPr="0063792C" w:rsidRDefault="00C46FE4" w:rsidP="00C46FE4">
      <w:pPr>
        <w:rPr>
          <w:u w:val="single"/>
        </w:rPr>
      </w:pPr>
      <w:r w:rsidRPr="0063792C">
        <w:rPr>
          <w:i/>
          <w:iCs/>
          <w:u w:val="single"/>
        </w:rPr>
        <w:t xml:space="preserve">Conversion Upon a Liquidity Event </w:t>
      </w:r>
    </w:p>
    <w:p w14:paraId="663A4414" w14:textId="77777777" w:rsidR="00C46FE4" w:rsidRPr="0063792C" w:rsidRDefault="00C46FE4" w:rsidP="00C46FE4"/>
    <w:p w14:paraId="6452908D" w14:textId="18D36983" w:rsidR="00C46FE4" w:rsidRPr="0063792C" w:rsidRDefault="00C46FE4" w:rsidP="00C46FE4">
      <w:r w:rsidRPr="0063792C">
        <w:t xml:space="preserve">In the case of the </w:t>
      </w:r>
      <w:r w:rsidR="000E221E">
        <w:t>Issuer</w:t>
      </w:r>
      <w:r w:rsidRPr="0063792C">
        <w:t xml:space="preserve">’s </w:t>
      </w:r>
      <w:r>
        <w:t>undergoing an</w:t>
      </w:r>
      <w:r w:rsidRPr="0063792C">
        <w:t xml:space="preserve"> </w:t>
      </w:r>
      <w:r w:rsidRPr="0063792C">
        <w:rPr>
          <w:b/>
          <w:bCs/>
        </w:rPr>
        <w:t>IPO</w:t>
      </w:r>
      <w:r>
        <w:t xml:space="preserve"> (as defined below) of its Capital Stock</w:t>
      </w:r>
      <w:r w:rsidR="006E1939">
        <w:t xml:space="preserve"> (as defined in the Security)</w:t>
      </w:r>
      <w:r w:rsidR="007067E5">
        <w:t>,</w:t>
      </w:r>
      <w:r w:rsidR="007067E5" w:rsidRPr="007067E5">
        <w:t xml:space="preserve"> </w:t>
      </w:r>
      <w:r w:rsidR="007067E5">
        <w:t xml:space="preserve">a </w:t>
      </w:r>
      <w:r w:rsidR="007067E5">
        <w:rPr>
          <w:b/>
          <w:bCs/>
        </w:rPr>
        <w:t>Direct Listing</w:t>
      </w:r>
      <w:r w:rsidR="007067E5">
        <w:t xml:space="preserve"> (as defined below),</w:t>
      </w:r>
      <w:r w:rsidRPr="0063792C">
        <w:t xml:space="preserve"> or a </w:t>
      </w:r>
      <w:r w:rsidRPr="00660B5D">
        <w:rPr>
          <w:b/>
          <w:bCs/>
        </w:rPr>
        <w:t>Change of Control</w:t>
      </w:r>
      <w:r w:rsidRPr="0063792C">
        <w:t xml:space="preserve"> (as defined below) of the </w:t>
      </w:r>
      <w:r w:rsidR="000E221E">
        <w:t>Issuer</w:t>
      </w:r>
      <w:r w:rsidRPr="0063792C">
        <w:t xml:space="preserve"> (either of these events, a “</w:t>
      </w:r>
      <w:r w:rsidRPr="0063792C">
        <w:rPr>
          <w:b/>
          <w:bCs/>
        </w:rPr>
        <w:t>Liquidity Event</w:t>
      </w:r>
      <w:r w:rsidRPr="0063792C">
        <w:t xml:space="preserve">”) prior to any Equity Financing, the Investor will receive, at </w:t>
      </w:r>
      <w:r w:rsidR="006C627B">
        <w:t xml:space="preserve">its </w:t>
      </w:r>
      <w:r w:rsidRPr="0063792C">
        <w:t xml:space="preserve">option </w:t>
      </w:r>
      <w:r>
        <w:t>and</w:t>
      </w:r>
      <w:r w:rsidRPr="00077643">
        <w:rPr>
          <w:sz w:val="22"/>
          <w:szCs w:val="22"/>
        </w:rPr>
        <w:t xml:space="preserve"> </w:t>
      </w:r>
      <w:r w:rsidRPr="00077643">
        <w:t>within thirty (30) days of receiving notice</w:t>
      </w:r>
      <w:r>
        <w:t xml:space="preserve"> </w:t>
      </w:r>
      <w:r w:rsidRPr="00077643">
        <w:t>(whether actual or constructive)</w:t>
      </w:r>
      <w:r>
        <w:t xml:space="preserve">, </w:t>
      </w:r>
      <w:r w:rsidR="007067E5">
        <w:t xml:space="preserve">the greater of </w:t>
      </w:r>
      <w:r w:rsidRPr="0063792C">
        <w:t xml:space="preserve">either (i) a cash payment equal to the </w:t>
      </w:r>
      <w:r w:rsidR="000E221E">
        <w:t>Purchase</w:t>
      </w:r>
      <w:r w:rsidR="00BC5133">
        <w:t xml:space="preserve"> Amount</w:t>
      </w:r>
      <w:r w:rsidRPr="0063792C">
        <w:t xml:space="preserve"> subject to the following paragraph (the “</w:t>
      </w:r>
      <w:r w:rsidRPr="0063792C">
        <w:rPr>
          <w:b/>
          <w:bCs/>
        </w:rPr>
        <w:t>Cash Out Option</w:t>
      </w:r>
      <w:r w:rsidRPr="0063792C">
        <w:t xml:space="preserve">”) or (ii) a number of shares of Common Stock of the </w:t>
      </w:r>
      <w:r w:rsidR="000E221E">
        <w:t>Issuer</w:t>
      </w:r>
      <w:r w:rsidRPr="0063792C">
        <w:t xml:space="preserve"> equal to the </w:t>
      </w:r>
      <w:r w:rsidR="000E221E">
        <w:t>Purchase</w:t>
      </w:r>
      <w:r w:rsidR="00BC5133">
        <w:t xml:space="preserve"> Amount</w:t>
      </w:r>
      <w:r w:rsidRPr="0063792C">
        <w:t xml:space="preserve"> divided by the quotient of (a) $</w:t>
      </w:r>
      <w:r w:rsidR="0008080B" w:rsidRPr="002507AC">
        <w:t>1</w:t>
      </w:r>
      <w:r w:rsidR="002507AC" w:rsidRPr="002507AC">
        <w:t>2,</w:t>
      </w:r>
      <w:r w:rsidR="0008080B" w:rsidRPr="002507AC">
        <w:t>5</w:t>
      </w:r>
      <w:r w:rsidRPr="002507AC">
        <w:t>00,000</w:t>
      </w:r>
      <w:r w:rsidRPr="0063792C">
        <w:t xml:space="preserve"> divided by (b) the number, as of immediately prior to the Liquidity Event, of shares of the </w:t>
      </w:r>
      <w:r w:rsidR="000E221E">
        <w:t>Issuer</w:t>
      </w:r>
      <w:r w:rsidRPr="0063792C">
        <w:t>’s capital stock outstanding (on an as-converted basis), assuming the exercise or conversion of all outstanding vested and unvested options, warrants and other convertible securities, but excluding: (</w:t>
      </w:r>
      <w:r>
        <w:t>w</w:t>
      </w:r>
      <w:r w:rsidRPr="0063792C">
        <w:t>) shares of capital stock reserved for future issuance under any equity incentive or similar plan; (</w:t>
      </w:r>
      <w:r>
        <w:t>x</w:t>
      </w:r>
      <w:r w:rsidRPr="0063792C">
        <w:t>) any S</w:t>
      </w:r>
      <w:r w:rsidR="005D5DA5">
        <w:t>AFE</w:t>
      </w:r>
      <w:r w:rsidRPr="0063792C">
        <w:t>s; (</w:t>
      </w:r>
      <w:r>
        <w:t>y</w:t>
      </w:r>
      <w:r w:rsidRPr="0063792C">
        <w:t>) convertible promissory notes</w:t>
      </w:r>
      <w:r>
        <w:t xml:space="preserve">; </w:t>
      </w:r>
      <w:r w:rsidRPr="0063792C">
        <w:t>and (</w:t>
      </w:r>
      <w:r>
        <w:t>z</w:t>
      </w:r>
      <w:r w:rsidRPr="0063792C">
        <w:t>) any equity securities that are issuable upon conversion of any outstanding convertible promissory notes or S</w:t>
      </w:r>
      <w:r w:rsidR="005D5DA5">
        <w:t>AFE</w:t>
      </w:r>
      <w:r w:rsidRPr="0063792C">
        <w:t>s.</w:t>
      </w:r>
    </w:p>
    <w:p w14:paraId="4E805088" w14:textId="77777777" w:rsidR="00C46FE4" w:rsidRDefault="00C46FE4" w:rsidP="00C46FE4"/>
    <w:p w14:paraId="2B9E4D0C" w14:textId="3DFC782D" w:rsidR="00C46FE4" w:rsidRPr="0063792C" w:rsidRDefault="00C46FE4" w:rsidP="00C46FE4">
      <w:r w:rsidRPr="0063792C">
        <w:t xml:space="preserve">In connection with the Cash Out Option, the </w:t>
      </w:r>
      <w:r w:rsidR="00DF738C">
        <w:t>Purchase</w:t>
      </w:r>
      <w:r w:rsidR="00BC5133">
        <w:t xml:space="preserve"> Amount</w:t>
      </w:r>
      <w:r>
        <w:t xml:space="preserve"> (or a lesser amount as described below)</w:t>
      </w:r>
      <w:r w:rsidRPr="0063792C">
        <w:t xml:space="preserve"> will be due and payable by the </w:t>
      </w:r>
      <w:r w:rsidR="00DF738C">
        <w:t>Issuer</w:t>
      </w:r>
      <w:r w:rsidRPr="0063792C">
        <w:t xml:space="preserve"> to the Investor immediately prior to, or concurrent with, the consummation of the Liquidity Event. If there are not enough funds to pay the Investors and the holders of other S</w:t>
      </w:r>
      <w:r w:rsidR="005D5DA5">
        <w:t>AFE</w:t>
      </w:r>
      <w:r w:rsidRPr="0063792C">
        <w:t>s (collectively, the “</w:t>
      </w:r>
      <w:r w:rsidRPr="0063792C">
        <w:rPr>
          <w:b/>
          <w:bCs/>
        </w:rPr>
        <w:t>Cash-Out Investors</w:t>
      </w:r>
      <w:r w:rsidRPr="0063792C">
        <w:t xml:space="preserve">”) in full, then all of the </w:t>
      </w:r>
      <w:r w:rsidR="00DF738C">
        <w:t>Issuer</w:t>
      </w:r>
      <w:r w:rsidRPr="0063792C">
        <w:t xml:space="preserve">’s available funds will be distributed with equal priority and pro rata among the Cash-Out Investors in proportion to their </w:t>
      </w:r>
      <w:r w:rsidR="00DF738C">
        <w:t>Purchase</w:t>
      </w:r>
      <w:r w:rsidR="00BC5133">
        <w:t xml:space="preserve"> Amount</w:t>
      </w:r>
      <w:r w:rsidRPr="0063792C">
        <w:t>s.</w:t>
      </w:r>
    </w:p>
    <w:p w14:paraId="72FE7E74" w14:textId="77777777" w:rsidR="00C46FE4" w:rsidRPr="0063792C" w:rsidRDefault="00C46FE4" w:rsidP="00C46FE4"/>
    <w:p w14:paraId="284611B7" w14:textId="3176CAFE" w:rsidR="00C46FE4" w:rsidRPr="0063792C" w:rsidRDefault="00C46FE4" w:rsidP="00C46FE4">
      <w:r w:rsidRPr="0063792C">
        <w:t>“</w:t>
      </w:r>
      <w:r w:rsidRPr="0063792C">
        <w:rPr>
          <w:b/>
          <w:bCs/>
        </w:rPr>
        <w:t>Change of Control</w:t>
      </w:r>
      <w:r w:rsidRPr="0063792C">
        <w:t xml:space="preserve">” as used </w:t>
      </w:r>
      <w:r w:rsidRPr="00485FB0">
        <w:t>above</w:t>
      </w:r>
      <w:r w:rsidRPr="0063792C">
        <w:t xml:space="preserve">, means (i) a transaction or series of related transactions in which any person or group becomes the beneficial owner of more than </w:t>
      </w:r>
      <w:r>
        <w:t>fifty percent (</w:t>
      </w:r>
      <w:r w:rsidRPr="0063792C">
        <w:t>50%</w:t>
      </w:r>
      <w:r>
        <w:t>)</w:t>
      </w:r>
      <w:r w:rsidRPr="0063792C">
        <w:t xml:space="preserve"> of the outstanding voting securities entitled to elect the </w:t>
      </w:r>
      <w:r w:rsidR="00DF738C">
        <w:t>Issuer</w:t>
      </w:r>
      <w:r w:rsidRPr="0063792C">
        <w:t xml:space="preserve">’s board of directors, (ii) any reorganization, merger or consolidation of the </w:t>
      </w:r>
      <w:r w:rsidR="00DF738C">
        <w:t>Issuer</w:t>
      </w:r>
      <w:r w:rsidRPr="0063792C">
        <w:t xml:space="preserve">, in which the outstanding voting security holders of the </w:t>
      </w:r>
      <w:r w:rsidR="00DF738C">
        <w:t>Issuer</w:t>
      </w:r>
      <w:r w:rsidRPr="0063792C">
        <w:t xml:space="preserve"> fail to retain at least a majority of such voting securities following such transaction or (iii) a sale, lease or other disposition of all or substantially all of the assets of the </w:t>
      </w:r>
      <w:r w:rsidR="00DF738C">
        <w:t>Issuer</w:t>
      </w:r>
      <w:r w:rsidRPr="0063792C">
        <w:t>.</w:t>
      </w:r>
    </w:p>
    <w:p w14:paraId="232270C6" w14:textId="77777777" w:rsidR="00C46FE4" w:rsidRDefault="00C46FE4" w:rsidP="00C46FE4"/>
    <w:p w14:paraId="07AAFF2C" w14:textId="77777777" w:rsidR="007067E5" w:rsidRDefault="007067E5" w:rsidP="00C46FE4">
      <w:r w:rsidRPr="005C6495">
        <w:t>“</w:t>
      </w:r>
      <w:r w:rsidRPr="005C6495">
        <w:rPr>
          <w:b/>
          <w:bCs/>
        </w:rPr>
        <w:t>Direct Listing</w:t>
      </w:r>
      <w:r w:rsidRPr="005C6495">
        <w:t xml:space="preserve">” </w:t>
      </w:r>
      <w:r w:rsidRPr="00C239C3">
        <w:t>means the Issuer’s initial listing of its Common Stock (other than shares of Common Stock not eligible for resale under Rule 144 under the Securities Act) on a national securities exchange by means of an effective registration statement on Form S-1 filed by the Issuer with the SEC that registers shares of existing Capital Stock of the Issuer for resale, as approved by the Issuer’s board of directors. For the avoidance of doubt, a Direct Listing will not be deemed to be an underwritten offering and will not involve any underwriting services</w:t>
      </w:r>
      <w:r w:rsidRPr="005C6495">
        <w:t>.</w:t>
      </w:r>
      <w:r>
        <w:t xml:space="preserve"> </w:t>
      </w:r>
    </w:p>
    <w:p w14:paraId="5AA41FDA" w14:textId="77777777" w:rsidR="007067E5" w:rsidRDefault="007067E5" w:rsidP="00C46FE4"/>
    <w:p w14:paraId="7B4D26DB" w14:textId="35640F1A" w:rsidR="00C46FE4" w:rsidRDefault="00C46FE4" w:rsidP="00C46FE4">
      <w:pPr>
        <w:rPr>
          <w:b/>
          <w:bCs/>
        </w:rPr>
      </w:pPr>
      <w:r>
        <w:lastRenderedPageBreak/>
        <w:t>“</w:t>
      </w:r>
      <w:r w:rsidRPr="00EA651B">
        <w:rPr>
          <w:b/>
          <w:bCs/>
        </w:rPr>
        <w:t>IPO</w:t>
      </w:r>
      <w:r>
        <w:t>” as used above, means</w:t>
      </w:r>
      <w:r w:rsidRPr="00485924">
        <w:t xml:space="preserve">: (A) the completion of an underwritten initial public offering of Capital Stock by the </w:t>
      </w:r>
      <w:r w:rsidR="00DF738C">
        <w:t>Issuer</w:t>
      </w:r>
      <w:r w:rsidRPr="00485924">
        <w:t xml:space="preserve"> pursuant to: (I) a final prospectus for which a receipt is issued by a securities commission of the United States or of a province of Canada, or (II) a registration statement which has been filed with the United States Securities and Exchange Commission and is declared effective to enable the sale of Capital Stock by the </w:t>
      </w:r>
      <w:r w:rsidR="00DF738C">
        <w:t>Issuer</w:t>
      </w:r>
      <w:r w:rsidRPr="00485924">
        <w:t xml:space="preserve"> to the public, which in each case results in such equity securities being listed and posted for trading or quoted on a recognized exchange; (B) the </w:t>
      </w:r>
      <w:r w:rsidR="00DF738C">
        <w:t>Issuer</w:t>
      </w:r>
      <w:r w:rsidRPr="00485924">
        <w:t xml:space="preserve">’s initial listing of its Capital Stock (other than shares of Capital Stock not eligible for resale under Rule 144 under the Securities Act) on a national securities exchange by means of an effective registration statement on Form S-1 filed by the </w:t>
      </w:r>
      <w:r w:rsidR="00DF738C">
        <w:t>Issuer</w:t>
      </w:r>
      <w:r w:rsidRPr="00485924">
        <w:t xml:space="preserve"> with the SEC that registers shares of existing capital stock of the </w:t>
      </w:r>
      <w:r w:rsidR="00DF738C">
        <w:t>Issuer</w:t>
      </w:r>
      <w:r w:rsidRPr="00485924">
        <w:t xml:space="preserve"> for resale, as approved by the </w:t>
      </w:r>
      <w:r w:rsidR="00DF738C">
        <w:t>Issuer</w:t>
      </w:r>
      <w:r w:rsidRPr="00485924">
        <w:t xml:space="preserve">’s board of directors, where such listing shall not be deemed to be an underwritten offering and shall not involve any underwriting services; or (C) the completion of a reverse merger or take-over whereby an entity (I) whose securities are listed and posted for trading or quoted on a recognized exchange, or (II) is a reporting issuer in the United States or the equivalent in any foreign jurisdiction, acquires all of the issued and outstanding Capital Stock of the </w:t>
      </w:r>
      <w:r w:rsidR="00DF738C">
        <w:t>Issuer</w:t>
      </w:r>
      <w:r w:rsidRPr="00485924">
        <w:t>.</w:t>
      </w:r>
    </w:p>
    <w:p w14:paraId="59D891F9" w14:textId="77777777" w:rsidR="00C46FE4" w:rsidRPr="0063792C" w:rsidRDefault="00C46FE4" w:rsidP="00C46FE4">
      <w:pPr>
        <w:rPr>
          <w:b/>
          <w:bCs/>
        </w:rPr>
      </w:pPr>
    </w:p>
    <w:p w14:paraId="18C30D37" w14:textId="77777777" w:rsidR="00C46FE4" w:rsidRPr="0063792C" w:rsidRDefault="00C46FE4" w:rsidP="00C46FE4">
      <w:pPr>
        <w:rPr>
          <w:b/>
          <w:bCs/>
          <w:i/>
          <w:iCs/>
        </w:rPr>
      </w:pPr>
      <w:r w:rsidRPr="0063792C">
        <w:rPr>
          <w:b/>
          <w:bCs/>
          <w:i/>
          <w:iCs/>
        </w:rPr>
        <w:t>Dissolution</w:t>
      </w:r>
    </w:p>
    <w:p w14:paraId="0DDEBE2A" w14:textId="77777777" w:rsidR="00C46FE4" w:rsidRPr="0063792C" w:rsidRDefault="00C46FE4" w:rsidP="00C46FE4"/>
    <w:p w14:paraId="35321A2A" w14:textId="2A3136DD" w:rsidR="00C46FE4" w:rsidRPr="0063792C" w:rsidRDefault="00C46FE4" w:rsidP="00C46FE4">
      <w:pPr>
        <w:rPr>
          <w:rFonts w:eastAsia="Calibri"/>
        </w:rPr>
      </w:pPr>
      <w:r w:rsidRPr="0063792C">
        <w:rPr>
          <w:rFonts w:eastAsia="Calibri"/>
        </w:rPr>
        <w:t xml:space="preserve">If there is a </w:t>
      </w:r>
      <w:r w:rsidRPr="00660B5D">
        <w:rPr>
          <w:rFonts w:eastAsia="Calibri"/>
          <w:b/>
          <w:bCs/>
        </w:rPr>
        <w:t>Dissolution Event</w:t>
      </w:r>
      <w:r w:rsidRPr="0063792C">
        <w:rPr>
          <w:rFonts w:eastAsia="Calibri"/>
        </w:rPr>
        <w:t xml:space="preserve"> (as defined below) before the Securities terminate, the </w:t>
      </w:r>
      <w:r w:rsidR="00DF738C">
        <w:t>Issuer</w:t>
      </w:r>
      <w:r w:rsidRPr="0063792C">
        <w:rPr>
          <w:rFonts w:eastAsia="Calibri"/>
        </w:rPr>
        <w:t xml:space="preserve"> will distribute </w:t>
      </w:r>
      <w:r w:rsidRPr="0063792C">
        <w:t>all proceeds</w:t>
      </w:r>
      <w:r w:rsidRPr="0063792C">
        <w:rPr>
          <w:rFonts w:eastAsia="Calibri"/>
        </w:rPr>
        <w:t xml:space="preserve"> legally available for distribution with </w:t>
      </w:r>
      <w:r w:rsidR="007067E5">
        <w:rPr>
          <w:rFonts w:eastAsia="Calibri"/>
        </w:rPr>
        <w:t xml:space="preserve">the following priority: (i) junior to payment of outstanding indebtedness and creditor claims, including contractual claims </w:t>
      </w:r>
      <w:r w:rsidR="007067E5" w:rsidRPr="00B07C62">
        <w:t xml:space="preserve">for payment and convertible promissory notes (to the extent such convertible promissory notes are not actually or notionally converted into </w:t>
      </w:r>
      <w:r w:rsidR="007067E5">
        <w:t>Capital Stock</w:t>
      </w:r>
      <w:r w:rsidR="007067E5" w:rsidRPr="00B07C62">
        <w:t>)</w:t>
      </w:r>
      <w:r w:rsidR="007067E5">
        <w:t xml:space="preserve">; (ii) on par with payments </w:t>
      </w:r>
      <w:r w:rsidR="007067E5" w:rsidRPr="00B07C62">
        <w:t xml:space="preserve">for other SAFEs, whether this Series or otherwise, and/or Preferred </w:t>
      </w:r>
      <w:r w:rsidR="007067E5">
        <w:t>Stock</w:t>
      </w:r>
      <w:r w:rsidR="007067E5" w:rsidRPr="00B07C62">
        <w:t xml:space="preserve">, and if the applicable </w:t>
      </w:r>
      <w:r w:rsidR="007067E5">
        <w:t>p</w:t>
      </w:r>
      <w:r w:rsidR="007067E5" w:rsidRPr="00B07C62">
        <w:t xml:space="preserve">roceeds are insufficient to permit full payments to the Investor and such other SAFEs and/or Preferred </w:t>
      </w:r>
      <w:r w:rsidR="007067E5">
        <w:t>Stock holders</w:t>
      </w:r>
      <w:r w:rsidR="007067E5" w:rsidRPr="00B07C62">
        <w:t xml:space="preserve">, the applicable </w:t>
      </w:r>
      <w:r w:rsidR="007067E5">
        <w:t>p</w:t>
      </w:r>
      <w:r w:rsidR="007067E5" w:rsidRPr="00B07C62">
        <w:t xml:space="preserve">roceeds will be distributed pro rata to the Investor and such other SAFEs and/or Preferred </w:t>
      </w:r>
      <w:r w:rsidR="007067E5">
        <w:t>Stock</w:t>
      </w:r>
      <w:r w:rsidR="007067E5" w:rsidRPr="00B07C62">
        <w:t xml:space="preserve"> </w:t>
      </w:r>
      <w:r w:rsidR="007067E5">
        <w:t xml:space="preserve">holders </w:t>
      </w:r>
      <w:r w:rsidR="007067E5" w:rsidRPr="00B07C62">
        <w:t xml:space="preserve">in proportion to the full payments that would otherwise be due; </w:t>
      </w:r>
      <w:r w:rsidR="007067E5" w:rsidRPr="0063792C">
        <w:rPr>
          <w:rFonts w:eastAsia="Calibri"/>
        </w:rPr>
        <w:t xml:space="preserve"> </w:t>
      </w:r>
      <w:r w:rsidRPr="0063792C">
        <w:rPr>
          <w:rFonts w:eastAsia="Calibri"/>
        </w:rPr>
        <w:t>and (iii) all holders of Common Stock.</w:t>
      </w:r>
    </w:p>
    <w:p w14:paraId="5E228CFB" w14:textId="77777777" w:rsidR="00C46FE4" w:rsidRPr="0063792C" w:rsidRDefault="00C46FE4" w:rsidP="00C46FE4">
      <w:pPr>
        <w:rPr>
          <w:rFonts w:eastAsia="Calibri"/>
        </w:rPr>
      </w:pPr>
    </w:p>
    <w:p w14:paraId="6E875D36" w14:textId="409F199C" w:rsidR="00C46FE4" w:rsidRPr="0063792C" w:rsidRDefault="00C46FE4" w:rsidP="00C46FE4">
      <w:pPr>
        <w:rPr>
          <w:rFonts w:eastAsia="Calibri"/>
        </w:rPr>
      </w:pPr>
      <w:r w:rsidRPr="0063792C">
        <w:rPr>
          <w:rFonts w:eastAsia="Calibri"/>
        </w:rPr>
        <w:t>A “</w:t>
      </w:r>
      <w:r w:rsidRPr="0063792C">
        <w:rPr>
          <w:b/>
        </w:rPr>
        <w:t>Dissolution Event</w:t>
      </w:r>
      <w:r w:rsidRPr="0063792C">
        <w:rPr>
          <w:rFonts w:eastAsia="Calibri"/>
        </w:rPr>
        <w:t xml:space="preserve">” means (i) a voluntary termination of operations by the </w:t>
      </w:r>
      <w:r w:rsidR="00DF738C">
        <w:t>Issuer</w:t>
      </w:r>
      <w:r w:rsidRPr="0063792C">
        <w:rPr>
          <w:rFonts w:eastAsia="Calibri"/>
        </w:rPr>
        <w:t xml:space="preserve">, (ii) a general assignment for the benefit of the </w:t>
      </w:r>
      <w:r w:rsidR="00DF738C">
        <w:t>Issuer</w:t>
      </w:r>
      <w:r w:rsidRPr="0063792C">
        <w:rPr>
          <w:rFonts w:eastAsia="Calibri"/>
        </w:rPr>
        <w:t xml:space="preserve">’s creditors or (iii) any other liquidation, dissolution or winding up of the </w:t>
      </w:r>
      <w:r w:rsidR="00DF738C">
        <w:t>Issuer</w:t>
      </w:r>
      <w:r w:rsidRPr="0063792C">
        <w:rPr>
          <w:rFonts w:eastAsia="Calibri"/>
        </w:rPr>
        <w:t xml:space="preserve"> (excluding a Liquidity Event), whether voluntary or involuntary.</w:t>
      </w:r>
    </w:p>
    <w:p w14:paraId="5A0FCD43" w14:textId="77777777" w:rsidR="00C46FE4" w:rsidRPr="0063792C" w:rsidRDefault="00C46FE4" w:rsidP="00C46FE4">
      <w:pPr>
        <w:rPr>
          <w:b/>
          <w:bCs/>
        </w:rPr>
      </w:pPr>
    </w:p>
    <w:p w14:paraId="2B426BDE" w14:textId="32A644F2" w:rsidR="00C46FE4" w:rsidRPr="0063792C" w:rsidRDefault="00C46FE4" w:rsidP="00C46FE4">
      <w:pPr>
        <w:rPr>
          <w:i/>
          <w:iCs/>
        </w:rPr>
      </w:pPr>
      <w:r w:rsidRPr="0063792C">
        <w:rPr>
          <w:b/>
          <w:bCs/>
          <w:i/>
          <w:iCs/>
        </w:rPr>
        <w:t>Termination</w:t>
      </w:r>
    </w:p>
    <w:p w14:paraId="2E30E609" w14:textId="77777777" w:rsidR="00C46FE4" w:rsidRPr="0063792C" w:rsidRDefault="00C46FE4" w:rsidP="00C46FE4"/>
    <w:p w14:paraId="24F5BE90" w14:textId="3D1277EE" w:rsidR="00C46FE4" w:rsidRPr="0063792C" w:rsidRDefault="00C46FE4" w:rsidP="00C46FE4">
      <w:r w:rsidRPr="0063792C">
        <w:t xml:space="preserve">The Securities terminate (without relieving the </w:t>
      </w:r>
      <w:r w:rsidR="00DF738C">
        <w:t>Issuer</w:t>
      </w:r>
      <w:r w:rsidRPr="0063792C">
        <w:t xml:space="preserve"> of any obligations arising from a prior breach of or non-compliance with the Securities) upon the earlier to occur of: (i) the issuance of shares in the </w:t>
      </w:r>
      <w:r>
        <w:t>converted s</w:t>
      </w:r>
      <w:r w:rsidRPr="0063792C">
        <w:t>ecurities to the Investor pursuant to the conversion provisions of the SAFE agreement or (ii) the payment, or setting aside for payment, of amounts due to the Investor pursuant to a Liquidity Event or a Dissolution Event.</w:t>
      </w:r>
    </w:p>
    <w:p w14:paraId="029C653F" w14:textId="77777777" w:rsidR="00C46FE4" w:rsidRPr="0063792C" w:rsidRDefault="00C46FE4" w:rsidP="00C46FE4">
      <w:pPr>
        <w:rPr>
          <w:b/>
          <w:bCs/>
        </w:rPr>
      </w:pPr>
    </w:p>
    <w:p w14:paraId="1DE97235" w14:textId="77777777" w:rsidR="006E4B4B" w:rsidRPr="00E61368" w:rsidRDefault="006E4B4B" w:rsidP="006E4B4B">
      <w:pPr>
        <w:rPr>
          <w:b/>
          <w:bCs/>
          <w:i/>
          <w:iCs/>
        </w:rPr>
      </w:pPr>
      <w:r w:rsidRPr="00E61368">
        <w:rPr>
          <w:b/>
          <w:bCs/>
          <w:i/>
          <w:iCs/>
        </w:rPr>
        <w:t>Nominee</w:t>
      </w:r>
    </w:p>
    <w:p w14:paraId="1FCF20B7" w14:textId="77777777" w:rsidR="006E4B4B" w:rsidRPr="00E61368" w:rsidRDefault="006E4B4B" w:rsidP="006E4B4B">
      <w:pPr>
        <w:rPr>
          <w:b/>
          <w:bCs/>
        </w:rPr>
      </w:pPr>
    </w:p>
    <w:p w14:paraId="4025E121" w14:textId="77777777" w:rsidR="006E4B4B" w:rsidRDefault="006E4B4B" w:rsidP="006E4B4B">
      <w:r>
        <w:t xml:space="preserve">The title holder of the Securities will be a trust established by and maintained by Nominee for the purposes of safeguarding the Securities and providing for efficiencies with respect to tax reporting, distributions and estate planning purposes related to the Securities. Pursuant to the terms of the Omnibus Nominee Trust Agreement (attached as </w:t>
      </w:r>
      <w:r w:rsidRPr="002F1420">
        <w:rPr>
          <w:u w:val="single"/>
        </w:rPr>
        <w:t>Exhibit D</w:t>
      </w:r>
      <w:r w:rsidRPr="00CF3D34">
        <w:t>)</w:t>
      </w:r>
      <w:r>
        <w:t>, Investors are engaging Nominee as its limited agent to safeguard and provide certain limited services with respect to the Securities held in trust. Investors are appointing Nominee to act as nominee for the Investors, to serve in such capacity until the appointment and authority conferred is revoked, for the limited purpose of causing to be held, and holding, in the name of Nominee alone, title to the Securities beneficially owned by the Investors and acquired by Nominee for the benefit of Investors or otherwise conveyed to Nominee in accordance with the directions of the Investors, with power and authority limited to registering and holding the Securities in Nominee’s name, and otherwise acting with respect to the Securities in accordance with the instructions of the Investors, as provided in the Omnibus Nominee Trust Agreement or as may be given by the Investors from time to time. The Nominee will have no right or authority to act with respect to the Securities, except upon the instructions of the Investors. An Investor may, at any time, in its absolute discretion, terminate the Omnibus Nominee Trust Agreement in whole or in part; provided, however, that no such termination will be effective with respect to any Securities the transfer of which is restricted by contract, law, edict or otherwise unless consented to by the Issuer thereof (including by blanket consent). Nominee’s sole function during the term of the Omnibus Nominee Trust Agreement will be to hold nominal legal title to the Securities for the benefit of the Investors under and subject to the Investor’s instructions.</w:t>
      </w:r>
    </w:p>
    <w:p w14:paraId="4BE82F11" w14:textId="77777777" w:rsidR="006E4B4B" w:rsidRDefault="006E4B4B" w:rsidP="006E4B4B"/>
    <w:p w14:paraId="44E4C793" w14:textId="290BFCA6" w:rsidR="00C46FE4" w:rsidRPr="0063792C" w:rsidRDefault="00C46FE4" w:rsidP="006E4B4B">
      <w:pPr>
        <w:rPr>
          <w:b/>
          <w:bCs/>
          <w:i/>
          <w:iCs/>
        </w:rPr>
      </w:pPr>
      <w:r w:rsidRPr="0063792C">
        <w:rPr>
          <w:b/>
          <w:bCs/>
          <w:i/>
          <w:iCs/>
        </w:rPr>
        <w:t xml:space="preserve">Voting and Control </w:t>
      </w:r>
    </w:p>
    <w:p w14:paraId="17C93A42" w14:textId="77777777" w:rsidR="00C46FE4" w:rsidRPr="0063792C" w:rsidRDefault="00C46FE4" w:rsidP="00C46FE4"/>
    <w:p w14:paraId="1DCCB704" w14:textId="608E4A2D" w:rsidR="00C46FE4" w:rsidRPr="004A2C00" w:rsidRDefault="00C46FE4" w:rsidP="00660B5D">
      <w:r w:rsidRPr="00BD59DC">
        <w:rPr>
          <w:color w:val="1D1C1D"/>
          <w:shd w:val="clear" w:color="auto" w:fill="FFFFFF"/>
        </w:rPr>
        <w:t>Neither the Securities </w:t>
      </w:r>
      <w:r w:rsidRPr="00BD59DC">
        <w:rPr>
          <w:b/>
          <w:bCs/>
          <w:color w:val="1D1C1D"/>
          <w:shd w:val="clear" w:color="auto" w:fill="FFFFFF"/>
        </w:rPr>
        <w:t>nor the securities issuable upon the conversion</w:t>
      </w:r>
      <w:r w:rsidRPr="00BD59DC">
        <w:rPr>
          <w:color w:val="1D1C1D"/>
          <w:shd w:val="clear" w:color="auto" w:fill="FFFFFF"/>
        </w:rPr>
        <w:t xml:space="preserve"> of the Securities have voting rights unless otherwise provided for by the </w:t>
      </w:r>
      <w:r w:rsidR="00DF738C">
        <w:t>Issuer</w:t>
      </w:r>
      <w:r w:rsidRPr="00BD59DC">
        <w:rPr>
          <w:color w:val="1D1C1D"/>
          <w:shd w:val="clear" w:color="auto" w:fill="FFFFFF"/>
        </w:rPr>
        <w:t>.</w:t>
      </w:r>
      <w:r>
        <w:rPr>
          <w:rFonts w:ascii="Arial" w:hAnsi="Arial" w:cs="Arial"/>
          <w:color w:val="1D1C1D"/>
          <w:sz w:val="23"/>
          <w:szCs w:val="23"/>
          <w:shd w:val="clear" w:color="auto" w:fill="FFFFFF"/>
        </w:rPr>
        <w:t xml:space="preserve">  </w:t>
      </w:r>
      <w:r w:rsidRPr="004A2C00">
        <w:t xml:space="preserve">In addition, to facilitate the </w:t>
      </w:r>
      <w:r>
        <w:t>Offering SAFE Investors</w:t>
      </w:r>
      <w:r w:rsidRPr="004A2C00">
        <w:t xml:space="preserve"> being able to act together </w:t>
      </w:r>
      <w:r w:rsidRPr="004A2C00">
        <w:lastRenderedPageBreak/>
        <w:t xml:space="preserve">and cast a vote as a group, to the extent any securities acquired upon conversion of the Securities confer the holder with voting rights (whether provided by the </w:t>
      </w:r>
      <w:r w:rsidR="00DF738C">
        <w:t>Issuer</w:t>
      </w:r>
      <w:r>
        <w:t>’s</w:t>
      </w:r>
      <w:r w:rsidRPr="004A2C00">
        <w:t xml:space="preserve"> governing documents or by law), the </w:t>
      </w:r>
      <w:r w:rsidR="006E4B4B">
        <w:t>Lead</w:t>
      </w:r>
      <w:r w:rsidRPr="004A2C00">
        <w:t xml:space="preserve"> will act </w:t>
      </w:r>
      <w:r w:rsidR="006E4B4B">
        <w:t xml:space="preserve">as proxy </w:t>
      </w:r>
      <w:r w:rsidRPr="004A2C00">
        <w:t xml:space="preserve">on behalf of </w:t>
      </w:r>
      <w:r w:rsidR="006E4B4B">
        <w:rPr>
          <w:bCs/>
        </w:rPr>
        <w:t>Investors in respect to instructions related to the Securities</w:t>
      </w:r>
      <w:r w:rsidRPr="004A2C00">
        <w:t xml:space="preserve">.  </w:t>
      </w:r>
      <w:r>
        <w:t xml:space="preserve">The </w:t>
      </w:r>
      <w:r w:rsidR="006E4B4B">
        <w:t>Lead</w:t>
      </w:r>
      <w:r w:rsidRPr="004A2C00">
        <w:t xml:space="preserve"> will vote consistently </w:t>
      </w:r>
      <w:r w:rsidRPr="0008080B">
        <w:t xml:space="preserve">at the direction of the Chief Executive Officer of the </w:t>
      </w:r>
      <w:r w:rsidR="00DF738C" w:rsidRPr="0008080B">
        <w:t>Issuer</w:t>
      </w:r>
      <w:r w:rsidR="009F2E93">
        <w:t xml:space="preserve"> (the “</w:t>
      </w:r>
      <w:r w:rsidR="006E4B4B">
        <w:rPr>
          <w:b/>
          <w:bCs/>
        </w:rPr>
        <w:t>Lead</w:t>
      </w:r>
      <w:r w:rsidR="009F2E93">
        <w:t>”)</w:t>
      </w:r>
      <w:r w:rsidRPr="004A2C00">
        <w:t>.</w:t>
      </w:r>
    </w:p>
    <w:p w14:paraId="7DF51B29" w14:textId="77777777" w:rsidR="00C46FE4" w:rsidRPr="0063792C" w:rsidRDefault="00C46FE4" w:rsidP="00C46FE4"/>
    <w:p w14:paraId="46C8521C" w14:textId="3DAD089C" w:rsidR="00CA34D8" w:rsidRPr="008D244A" w:rsidRDefault="00CA34D8" w:rsidP="00CA34D8">
      <w:r>
        <w:t xml:space="preserve">The </w:t>
      </w:r>
      <w:r w:rsidR="00DB5DAE">
        <w:t>Issuer</w:t>
      </w:r>
      <w:r>
        <w:t xml:space="preserve"> and certain stockholders of the </w:t>
      </w:r>
      <w:r w:rsidR="00DB5DAE">
        <w:t>Issuer</w:t>
      </w:r>
      <w:r>
        <w:t xml:space="preserve"> are party to that certain Series Seed 1 Preferred Stock Investment Agreement,</w:t>
      </w:r>
      <w:r w:rsidR="00DB5DAE">
        <w:t xml:space="preserve"> </w:t>
      </w:r>
      <w:r>
        <w:t xml:space="preserve">dated as of </w:t>
      </w:r>
      <w:r w:rsidRPr="0032342B">
        <w:t xml:space="preserve">April </w:t>
      </w:r>
      <w:r w:rsidR="00953AD6">
        <w:t>20</w:t>
      </w:r>
      <w:r w:rsidRPr="0032342B">
        <w:t>, 20</w:t>
      </w:r>
      <w:r w:rsidR="0032342B" w:rsidRPr="0032342B">
        <w:t>17</w:t>
      </w:r>
      <w:r>
        <w:t xml:space="preserve">, </w:t>
      </w:r>
      <w:r w:rsidR="00DB5DAE">
        <w:t xml:space="preserve">which </w:t>
      </w:r>
      <w:r>
        <w:t xml:space="preserve">provides for, among other things, </w:t>
      </w:r>
      <w:r w:rsidR="00DB5DAE">
        <w:t xml:space="preserve">(i) financial information rights for Major Purchasers; (ii) </w:t>
      </w:r>
      <w:r w:rsidR="00DB5DAE" w:rsidRPr="008D244A">
        <w:t>a right of first refusal</w:t>
      </w:r>
      <w:r w:rsidR="00DB5DAE">
        <w:t xml:space="preserve"> for Major Purchasers on transfers by Key Holders of Common Stock of the Issuer; (iii) restrictions on transfer; (iv) drag-along rights; (v) tag-along rights; (vi) participation rights for Major Purchasers in subsequent equity offerings by the Issuer;</w:t>
      </w:r>
      <w:r w:rsidR="00F274FD">
        <w:t xml:space="preserve"> and</w:t>
      </w:r>
      <w:r w:rsidR="00DB5DAE">
        <w:t xml:space="preserve"> (vii) </w:t>
      </w:r>
      <w:r w:rsidRPr="008D244A">
        <w:t xml:space="preserve">voting provisions related to the Board, including </w:t>
      </w:r>
      <w:r>
        <w:t xml:space="preserve">the size of </w:t>
      </w:r>
      <w:r w:rsidR="00F274FD">
        <w:t xml:space="preserve">and composition of </w:t>
      </w:r>
      <w:r>
        <w:t>the B</w:t>
      </w:r>
      <w:r w:rsidRPr="008D244A">
        <w:t>oard</w:t>
      </w:r>
      <w:r>
        <w:t xml:space="preserve">, including the Common Stock holders right to designate two (2) directors to the Board and </w:t>
      </w:r>
      <w:r w:rsidR="00F274FD">
        <w:t xml:space="preserve">Series Seed </w:t>
      </w:r>
      <w:r>
        <w:t xml:space="preserve">Preferred Stock </w:t>
      </w:r>
      <w:r w:rsidR="00F274FD">
        <w:t xml:space="preserve">holders </w:t>
      </w:r>
      <w:r>
        <w:t xml:space="preserve">having the right to designate </w:t>
      </w:r>
      <w:r w:rsidR="00F274FD">
        <w:t xml:space="preserve">one (1) </w:t>
      </w:r>
      <w:r>
        <w:t>Board director</w:t>
      </w:r>
      <w:r w:rsidR="00F274FD">
        <w:t xml:space="preserve">. </w:t>
      </w:r>
    </w:p>
    <w:p w14:paraId="0E02DE7B" w14:textId="77777777" w:rsidR="00CA34D8" w:rsidRPr="008D244A" w:rsidRDefault="00CA34D8" w:rsidP="00CA34D8"/>
    <w:p w14:paraId="57667334" w14:textId="77777777" w:rsidR="00C46FE4" w:rsidRPr="0063792C" w:rsidRDefault="00C46FE4" w:rsidP="00C46FE4">
      <w:pPr>
        <w:rPr>
          <w:b/>
          <w:bCs/>
          <w:i/>
          <w:iCs/>
        </w:rPr>
      </w:pPr>
      <w:r w:rsidRPr="0063792C">
        <w:rPr>
          <w:b/>
          <w:bCs/>
          <w:i/>
          <w:iCs/>
        </w:rPr>
        <w:t xml:space="preserve">Anti-Dilution Rights </w:t>
      </w:r>
    </w:p>
    <w:p w14:paraId="105E8728" w14:textId="77777777" w:rsidR="00C46FE4" w:rsidRPr="0063792C" w:rsidRDefault="00C46FE4" w:rsidP="00C46FE4"/>
    <w:p w14:paraId="1573C746" w14:textId="77AC6137" w:rsidR="00C46FE4" w:rsidRPr="0063792C" w:rsidRDefault="00C46FE4" w:rsidP="00C46FE4">
      <w:pPr>
        <w:rPr>
          <w:rFonts w:eastAsia="Calibri"/>
        </w:rPr>
      </w:pPr>
      <w:r w:rsidRPr="0063792C">
        <w:t>The Securities do not have anti-dilution rights, which means that future equity issuances and other events will dilute the ownership percentage that Investor</w:t>
      </w:r>
      <w:r>
        <w:t>s</w:t>
      </w:r>
      <w:r w:rsidRPr="0063792C">
        <w:t xml:space="preserve"> may eventually have in the </w:t>
      </w:r>
      <w:r w:rsidR="00DF738C">
        <w:t>Issuer</w:t>
      </w:r>
      <w:r w:rsidRPr="0063792C">
        <w:t>.</w:t>
      </w:r>
    </w:p>
    <w:p w14:paraId="15B095AF" w14:textId="77777777" w:rsidR="00C46FE4" w:rsidRPr="0063792C" w:rsidRDefault="00C46FE4" w:rsidP="00C46FE4"/>
    <w:p w14:paraId="326B1877" w14:textId="77777777" w:rsidR="00C46FE4" w:rsidRPr="0063792C" w:rsidRDefault="00C46FE4" w:rsidP="00C46FE4">
      <w:pPr>
        <w:rPr>
          <w:b/>
          <w:bCs/>
          <w:i/>
          <w:iCs/>
        </w:rPr>
      </w:pPr>
      <w:r w:rsidRPr="0063792C">
        <w:rPr>
          <w:b/>
          <w:bCs/>
          <w:i/>
          <w:iCs/>
        </w:rPr>
        <w:t xml:space="preserve">Restrictions on Transfer </w:t>
      </w:r>
    </w:p>
    <w:p w14:paraId="5196686B" w14:textId="77777777" w:rsidR="00C46FE4" w:rsidRPr="0063792C" w:rsidRDefault="00C46FE4" w:rsidP="00C46FE4"/>
    <w:p w14:paraId="1230ACE3" w14:textId="2E3756F6" w:rsidR="00C46FE4" w:rsidRPr="0063792C" w:rsidRDefault="00C46FE4" w:rsidP="00C46FE4">
      <w:r w:rsidRPr="0063792C">
        <w:t xml:space="preserve">Any Securities sold pursuant to Regulation CF being offered may not be transferred by any Investor of such Securities during the one-year holding period beginning when the Securities were issued, unless such Securities are transferred: (1) to the </w:t>
      </w:r>
      <w:r w:rsidR="00DF738C">
        <w:t>Issuer</w:t>
      </w:r>
      <w:r w:rsidRPr="0063792C">
        <w:t>; (2) to an accredited investor, as defined by Rule 501(d) of Regulation D promulgated under the Securities Act; (3) as part of an IPO; or (4) to a member of the family of the Investor or the equivalent, to a trust controlled by the Investor, to a trust created for the benefit of a member of the family of the Investor or the equivalent, or in connection with the death or divorce of the Investor or other similar circumstances. “Member of the family” as used herein means a child, stepchild, grandchild, parent, stepparent, grandparent, spouse or spousal equivalent, sibling, mother/father/daughter/son/sister/brother-in-law, and includes adoptive relationships. Each Investor should be aware that although the Securities may legally be able to be transferred, there is no guarantee that another party will be willing to purchase them.</w:t>
      </w:r>
    </w:p>
    <w:p w14:paraId="70653609" w14:textId="77777777" w:rsidR="00C46FE4" w:rsidRPr="0063792C" w:rsidRDefault="00C46FE4" w:rsidP="00C46FE4"/>
    <w:p w14:paraId="75D6F299" w14:textId="40852A69" w:rsidR="00C46FE4" w:rsidRPr="0063792C" w:rsidRDefault="00C46FE4" w:rsidP="00C46FE4">
      <w:r w:rsidRPr="0063792C">
        <w:t xml:space="preserve">In addition to the foregoing restrictions, prior to making any transfer of the Securities or any capital stock into which they are convertible, such transferring Investor must either make such transfer pursuant to an effective registration statement filed with the SEC or provide the </w:t>
      </w:r>
      <w:r w:rsidR="00DF738C">
        <w:t>Issuer</w:t>
      </w:r>
      <w:r w:rsidRPr="0063792C">
        <w:t xml:space="preserve"> with an opinion of counsel reasonably satisfactory to the </w:t>
      </w:r>
      <w:r w:rsidR="00DF738C">
        <w:t>Issuer</w:t>
      </w:r>
      <w:r w:rsidRPr="0063792C">
        <w:t xml:space="preserve"> stating that a registration statement is not necessary to effect such transfer.</w:t>
      </w:r>
    </w:p>
    <w:p w14:paraId="5225D72F" w14:textId="77777777" w:rsidR="00C46FE4" w:rsidRPr="0063792C" w:rsidRDefault="00C46FE4" w:rsidP="00C46FE4"/>
    <w:p w14:paraId="10BD0CCE" w14:textId="244633EA" w:rsidR="00C46FE4" w:rsidRPr="0063792C" w:rsidRDefault="00C46FE4" w:rsidP="00C46FE4">
      <w:r w:rsidRPr="0063792C">
        <w:t xml:space="preserve">In addition, the Investor may not transfer the Securities or any capital stock into which they are convertible to any of the </w:t>
      </w:r>
      <w:r w:rsidR="00DF738C">
        <w:t>Issuer</w:t>
      </w:r>
      <w:r w:rsidRPr="0063792C">
        <w:t xml:space="preserve">’s competitors, as determined by the </w:t>
      </w:r>
      <w:r w:rsidR="00DF738C">
        <w:t>Issuer</w:t>
      </w:r>
      <w:r w:rsidRPr="0063792C">
        <w:t xml:space="preserve"> in good faith.</w:t>
      </w:r>
    </w:p>
    <w:p w14:paraId="3FA0EF70" w14:textId="77777777" w:rsidR="00C46FE4" w:rsidRPr="0063792C" w:rsidRDefault="00C46FE4" w:rsidP="00C46FE4"/>
    <w:p w14:paraId="1C0E62CC" w14:textId="77777777" w:rsidR="00C46FE4" w:rsidRDefault="00C46FE4" w:rsidP="00C46FE4">
      <w:r w:rsidRPr="0063792C">
        <w:t>Furthermore, upon the event of an IPO, the capital stock into which the Securities are converted will be subject to a lock-up period and may not be lent, offered, pledged, or sold for up to 180 days following such IPO.</w:t>
      </w:r>
    </w:p>
    <w:p w14:paraId="6EF0EE0B" w14:textId="77777777" w:rsidR="00C46FE4" w:rsidRDefault="00C46FE4" w:rsidP="00C46FE4"/>
    <w:p w14:paraId="2BE91635" w14:textId="12970B30" w:rsidR="00C46FE4" w:rsidRPr="000B147A" w:rsidRDefault="00C46FE4" w:rsidP="00C46FE4">
      <w:pPr>
        <w:rPr>
          <w:bCs/>
        </w:rPr>
      </w:pPr>
      <w:r>
        <w:rPr>
          <w:bCs/>
        </w:rPr>
        <w:t>If a transfer, resale, assignment or distribution of the Security should occur prior to the conversion of the Security or after, if the Security is still held by the original purchaser directly, the transferee, purchaser, assignee or distribute</w:t>
      </w:r>
      <w:r w:rsidR="00D63000">
        <w:rPr>
          <w:bCs/>
        </w:rPr>
        <w:t>e</w:t>
      </w:r>
      <w:r>
        <w:rPr>
          <w:bCs/>
        </w:rPr>
        <w:t xml:space="preserve">, as relevant, will be required to sign </w:t>
      </w:r>
      <w:r w:rsidR="006E4B4B" w:rsidRPr="00B9258F">
        <w:rPr>
          <w:bCs/>
        </w:rPr>
        <w:t>a</w:t>
      </w:r>
      <w:r w:rsidR="006E4B4B" w:rsidRPr="00E4137F">
        <w:rPr>
          <w:bCs/>
        </w:rPr>
        <w:t>n</w:t>
      </w:r>
      <w:r w:rsidR="006E4B4B" w:rsidRPr="00B9258F">
        <w:rPr>
          <w:bCs/>
        </w:rPr>
        <w:t xml:space="preserve"> </w:t>
      </w:r>
      <w:r w:rsidR="006E4B4B" w:rsidRPr="00E4137F">
        <w:rPr>
          <w:bCs/>
        </w:rPr>
        <w:t>Omnibus Nominee Trust Agreement</w:t>
      </w:r>
      <w:r w:rsidR="006E4B4B" w:rsidDel="006E4B4B">
        <w:rPr>
          <w:bCs/>
        </w:rPr>
        <w:t xml:space="preserve"> </w:t>
      </w:r>
      <w:r>
        <w:rPr>
          <w:bCs/>
        </w:rPr>
        <w:t>(as defined in the Security).</w:t>
      </w:r>
    </w:p>
    <w:p w14:paraId="7CBC2088" w14:textId="77777777" w:rsidR="00C46FE4" w:rsidRDefault="00C46FE4" w:rsidP="00C46FE4">
      <w:pPr>
        <w:rPr>
          <w:b/>
          <w:bCs/>
          <w:i/>
          <w:iCs/>
        </w:rPr>
      </w:pPr>
    </w:p>
    <w:p w14:paraId="5838FA44" w14:textId="77777777" w:rsidR="00C46FE4" w:rsidRPr="0063792C" w:rsidRDefault="00C46FE4" w:rsidP="00C46FE4">
      <w:pPr>
        <w:rPr>
          <w:b/>
          <w:bCs/>
          <w:i/>
          <w:iCs/>
        </w:rPr>
      </w:pPr>
      <w:r w:rsidRPr="0063792C">
        <w:rPr>
          <w:b/>
          <w:bCs/>
          <w:i/>
          <w:iCs/>
        </w:rPr>
        <w:t xml:space="preserve">Other Material Terms </w:t>
      </w:r>
    </w:p>
    <w:p w14:paraId="1CE5DC18" w14:textId="77777777" w:rsidR="00C46FE4" w:rsidRPr="0063792C" w:rsidRDefault="00C46FE4" w:rsidP="00C46FE4"/>
    <w:p w14:paraId="393952F2" w14:textId="6EC6C0AC" w:rsidR="00C46FE4" w:rsidRPr="0063792C" w:rsidRDefault="00C46FE4" w:rsidP="00C46FE4">
      <w:pPr>
        <w:numPr>
          <w:ilvl w:val="0"/>
          <w:numId w:val="16"/>
        </w:numPr>
        <w:suppressAutoHyphens/>
      </w:pPr>
      <w:r w:rsidRPr="0063792C">
        <w:t xml:space="preserve">The </w:t>
      </w:r>
      <w:r w:rsidR="00DF738C">
        <w:t>Issuer</w:t>
      </w:r>
      <w:r w:rsidRPr="0063792C">
        <w:t xml:space="preserve"> does not have the right to repurchase the Securities.</w:t>
      </w:r>
    </w:p>
    <w:p w14:paraId="672FD9AA" w14:textId="77777777" w:rsidR="00C46FE4" w:rsidRPr="0063792C" w:rsidRDefault="00C46FE4" w:rsidP="00C46FE4">
      <w:pPr>
        <w:numPr>
          <w:ilvl w:val="0"/>
          <w:numId w:val="16"/>
        </w:numPr>
        <w:suppressAutoHyphens/>
      </w:pPr>
      <w:r w:rsidRPr="0063792C">
        <w:t>The Securities do not have a stated return or liquidation preference.</w:t>
      </w:r>
    </w:p>
    <w:p w14:paraId="31BE4119" w14:textId="2E45CCEE" w:rsidR="00C46FE4" w:rsidRPr="0063792C" w:rsidRDefault="00C46FE4" w:rsidP="00C46FE4">
      <w:pPr>
        <w:numPr>
          <w:ilvl w:val="0"/>
          <w:numId w:val="16"/>
        </w:numPr>
        <w:suppressAutoHyphens/>
      </w:pPr>
      <w:r w:rsidRPr="0063792C">
        <w:t xml:space="preserve">The </w:t>
      </w:r>
      <w:r w:rsidR="00DF738C">
        <w:t>Issuer</w:t>
      </w:r>
      <w:r w:rsidRPr="0063792C">
        <w:t xml:space="preserve"> cannot determine if it currently has enough capital stock authorized to issue upon the conversion of the Securities, because the amount of capital stock to be issued is based on the occurrence of future events.</w:t>
      </w:r>
    </w:p>
    <w:p w14:paraId="6AD43CF6" w14:textId="60B9001E" w:rsidR="00C46FE4" w:rsidRDefault="00C46FE4" w:rsidP="00C46FE4"/>
    <w:p w14:paraId="726CFF4D" w14:textId="77777777" w:rsidR="006115E9" w:rsidRPr="0063792C" w:rsidRDefault="006115E9" w:rsidP="00C46FE4"/>
    <w:p w14:paraId="559475A1" w14:textId="77777777" w:rsidR="008B7F64" w:rsidRDefault="008B7F64">
      <w:pPr>
        <w:jc w:val="left"/>
        <w:rPr>
          <w:b/>
        </w:rPr>
      </w:pPr>
      <w:bookmarkStart w:id="9" w:name="_Toc103593640"/>
      <w:r>
        <w:br w:type="page"/>
      </w:r>
    </w:p>
    <w:p w14:paraId="6B33A43F" w14:textId="7A060FAE" w:rsidR="00C46FE4" w:rsidRPr="0063792C" w:rsidRDefault="00C46FE4" w:rsidP="00D0194F">
      <w:pPr>
        <w:pStyle w:val="Heading1"/>
        <w:keepNext/>
        <w:jc w:val="center"/>
      </w:pPr>
      <w:r w:rsidRPr="0063792C">
        <w:lastRenderedPageBreak/>
        <w:t>COMMISSION AND FEES</w:t>
      </w:r>
      <w:bookmarkEnd w:id="9"/>
    </w:p>
    <w:p w14:paraId="373100E5" w14:textId="77777777" w:rsidR="00C46FE4" w:rsidRPr="0063792C" w:rsidRDefault="00C46FE4" w:rsidP="00D0194F">
      <w:pPr>
        <w:keepNext/>
        <w:jc w:val="center"/>
        <w:rPr>
          <w:b/>
          <w:bCs/>
        </w:rPr>
      </w:pPr>
    </w:p>
    <w:p w14:paraId="125DF1F3" w14:textId="77FF40E5" w:rsidR="006115E9" w:rsidRPr="00D0194F" w:rsidRDefault="006115E9" w:rsidP="006115E9">
      <w:pPr>
        <w:keepNext/>
        <w:rPr>
          <w:b/>
          <w:bCs/>
        </w:rPr>
      </w:pPr>
      <w:r>
        <w:rPr>
          <w:b/>
          <w:bCs/>
        </w:rPr>
        <w:t>Cash Commission</w:t>
      </w:r>
    </w:p>
    <w:p w14:paraId="5DDBAA51" w14:textId="77777777" w:rsidR="006115E9" w:rsidRDefault="006115E9" w:rsidP="006115E9">
      <w:pPr>
        <w:keepNext/>
      </w:pPr>
    </w:p>
    <w:p w14:paraId="6DFC1C58" w14:textId="728C7BCE" w:rsidR="00C46FE4" w:rsidRPr="0063792C" w:rsidRDefault="00C46FE4" w:rsidP="00D0194F">
      <w:pPr>
        <w:keepNext/>
      </w:pPr>
      <w:r w:rsidRPr="0063792C">
        <w:t xml:space="preserve">At the conclusion of the Offering, the </w:t>
      </w:r>
      <w:r w:rsidR="00DF738C">
        <w:t>Issuer</w:t>
      </w:r>
      <w:r w:rsidRPr="0063792C">
        <w:t xml:space="preserve"> shall pay </w:t>
      </w:r>
      <w:r w:rsidR="00DF738C">
        <w:t xml:space="preserve">the Intermediary </w:t>
      </w:r>
      <w:r w:rsidR="0029799F" w:rsidRPr="0029799F">
        <w:t>the greater of (A) a fee of six percent (6%) of the dollar amount raised in the Offering or (B) a cash fee of twelve thousand dollars ($12,000.00)</w:t>
      </w:r>
      <w:r w:rsidRPr="0063792C">
        <w:t>.</w:t>
      </w:r>
    </w:p>
    <w:p w14:paraId="7BD83CEC" w14:textId="77777777" w:rsidR="00C46FE4" w:rsidRPr="0063792C" w:rsidRDefault="00C46FE4" w:rsidP="00D0194F">
      <w:pPr>
        <w:keepNext/>
      </w:pPr>
    </w:p>
    <w:p w14:paraId="31A62BBC" w14:textId="14528E60" w:rsidR="00C46FE4" w:rsidRPr="0063792C" w:rsidRDefault="00C46FE4" w:rsidP="00C46FE4">
      <w:pPr>
        <w:pStyle w:val="Heading2"/>
      </w:pPr>
      <w:bookmarkStart w:id="10" w:name="_Toc103593641"/>
      <w:r w:rsidRPr="0063792C">
        <w:t>Other Compensation</w:t>
      </w:r>
      <w:bookmarkEnd w:id="10"/>
    </w:p>
    <w:p w14:paraId="4EE8AAD4" w14:textId="77777777" w:rsidR="00C46FE4" w:rsidRPr="0063792C" w:rsidRDefault="00C46FE4" w:rsidP="00C46FE4"/>
    <w:p w14:paraId="2D6D7C0C" w14:textId="7D21D6A2" w:rsidR="00C46FE4" w:rsidRPr="0063792C" w:rsidRDefault="00C46FE4" w:rsidP="00C46FE4">
      <w:r w:rsidRPr="0063792C">
        <w:t xml:space="preserve">The Intermediary will also receive compensation in the form of </w:t>
      </w:r>
      <w:r>
        <w:t>the S</w:t>
      </w:r>
      <w:r w:rsidRPr="0063792C">
        <w:t xml:space="preserve">ecurities equal to </w:t>
      </w:r>
      <w:r>
        <w:t>two percent (</w:t>
      </w:r>
      <w:r w:rsidRPr="0063792C">
        <w:t>2%</w:t>
      </w:r>
      <w:r>
        <w:t>)</w:t>
      </w:r>
      <w:r w:rsidRPr="0063792C">
        <w:t xml:space="preserve"> of the total number of </w:t>
      </w:r>
      <w:r>
        <w:t>the S</w:t>
      </w:r>
      <w:r w:rsidRPr="0063792C">
        <w:t xml:space="preserve">ecurities sold in the </w:t>
      </w:r>
      <w:r w:rsidR="00DF738C">
        <w:t>O</w:t>
      </w:r>
      <w:r w:rsidRPr="0063792C">
        <w:t>ffering</w:t>
      </w:r>
      <w:r>
        <w:t>.</w:t>
      </w:r>
      <w:r w:rsidR="006115E9">
        <w:t xml:space="preserve">  The total number of Securities outstanding after the Offering is subject to increase in an amount equal to the Intermediary’s fee of two percent (2%) of the Securities issued in this Offering.</w:t>
      </w:r>
    </w:p>
    <w:p w14:paraId="56259E69" w14:textId="77777777" w:rsidR="00C46FE4" w:rsidRDefault="00C46FE4" w:rsidP="00DC0ACF">
      <w:pPr>
        <w:pStyle w:val="Heading1"/>
        <w:jc w:val="center"/>
      </w:pPr>
    </w:p>
    <w:p w14:paraId="7F51B3A9" w14:textId="77777777" w:rsidR="00C46FE4" w:rsidRDefault="00C46FE4" w:rsidP="00DC0ACF">
      <w:pPr>
        <w:pStyle w:val="Heading1"/>
        <w:jc w:val="center"/>
      </w:pPr>
    </w:p>
    <w:p w14:paraId="3401CF04" w14:textId="77777777" w:rsidR="00DC0ACF" w:rsidRPr="00BD59DC" w:rsidRDefault="00DC0ACF" w:rsidP="00DC0ACF"/>
    <w:p w14:paraId="446F9A9A" w14:textId="77777777" w:rsidR="00DC0ACF" w:rsidRPr="0063792C" w:rsidRDefault="00DC0ACF" w:rsidP="00DC0ACF">
      <w:pPr>
        <w:pStyle w:val="Heading1"/>
        <w:contextualSpacing/>
        <w:jc w:val="center"/>
      </w:pPr>
      <w:bookmarkStart w:id="11" w:name="_Toc103593642"/>
      <w:r w:rsidRPr="0063792C">
        <w:t>RISK FACTORS</w:t>
      </w:r>
      <w:bookmarkEnd w:id="11"/>
    </w:p>
    <w:p w14:paraId="088AF119" w14:textId="77777777" w:rsidR="00DC0ACF" w:rsidRPr="0063792C" w:rsidRDefault="00DC0ACF" w:rsidP="00DC0ACF">
      <w:pPr>
        <w:contextualSpacing/>
        <w:rPr>
          <w:bCs/>
        </w:rPr>
      </w:pPr>
    </w:p>
    <w:p w14:paraId="554FF5D1" w14:textId="37785204" w:rsidR="00DC0ACF" w:rsidRPr="0063792C" w:rsidRDefault="00DC0ACF" w:rsidP="00DC0ACF">
      <w:pPr>
        <w:contextualSpacing/>
        <w:rPr>
          <w:bCs/>
          <w:i/>
          <w:iCs/>
        </w:rPr>
      </w:pPr>
      <w:r w:rsidRPr="0063792C">
        <w:rPr>
          <w:bCs/>
          <w:i/>
          <w:iCs/>
        </w:rPr>
        <w:t>Investing in the Securities involves a high degree of risk and may result in the loss of your entire investment. Before making an investment decision with respect to the Securities, we urge you to carefully consider the risks described in this section and other factors set forth in this Form C.</w:t>
      </w:r>
      <w:r w:rsidRPr="0063792C">
        <w:rPr>
          <w:bCs/>
          <w:i/>
        </w:rPr>
        <w:t xml:space="preserve"> In addition to the risks specified below, the </w:t>
      </w:r>
      <w:r w:rsidR="00DF738C">
        <w:rPr>
          <w:bCs/>
          <w:i/>
        </w:rPr>
        <w:t>Issuer</w:t>
      </w:r>
      <w:r w:rsidRPr="0063792C">
        <w:rPr>
          <w:bCs/>
          <w:i/>
        </w:rPr>
        <w:t xml:space="preserve"> is subject to same risks that all companies in its business, and all companies in the economy, are exposed to. These include risks relating to economic downturns, political and economic events and technological developments (such as hacking and the ability to prevent hacking). Additionally, early-stage companies are inherently riskier than more developed companies.</w:t>
      </w:r>
      <w:r w:rsidRPr="0063792C">
        <w:rPr>
          <w:bCs/>
          <w:i/>
          <w:iCs/>
        </w:rPr>
        <w:t xml:space="preserve"> Prospective Investors should consult with their legal, tax and financial advisors prior to making an investment in the Securities. The Securities should only be purchased by persons who can afford to lose all of their investment.</w:t>
      </w:r>
    </w:p>
    <w:p w14:paraId="7796336E" w14:textId="77777777" w:rsidR="00DC0ACF" w:rsidRPr="0063792C" w:rsidRDefault="00DC0ACF" w:rsidP="00DC0ACF">
      <w:pPr>
        <w:contextualSpacing/>
        <w:rPr>
          <w:b/>
          <w:i/>
        </w:rPr>
      </w:pPr>
    </w:p>
    <w:p w14:paraId="5840015D" w14:textId="14A322DC" w:rsidR="00DC0ACF" w:rsidRPr="0063792C" w:rsidRDefault="00DC0ACF" w:rsidP="00DC0ACF">
      <w:pPr>
        <w:pStyle w:val="Heading2"/>
        <w:contextualSpacing/>
      </w:pPr>
      <w:bookmarkStart w:id="12" w:name="_Toc103593643"/>
      <w:r w:rsidRPr="0063792C">
        <w:t xml:space="preserve">Risks Related to the </w:t>
      </w:r>
      <w:r w:rsidR="00DF738C">
        <w:t>Issuer</w:t>
      </w:r>
      <w:r w:rsidRPr="0063792C">
        <w:t>’s Business and Industry</w:t>
      </w:r>
      <w:bookmarkEnd w:id="12"/>
      <w:r w:rsidRPr="0063792C">
        <w:t xml:space="preserve"> </w:t>
      </w:r>
    </w:p>
    <w:p w14:paraId="2A81371C" w14:textId="77777777" w:rsidR="00DC0ACF" w:rsidRDefault="00DC0ACF" w:rsidP="00DC0ACF">
      <w:pPr>
        <w:pBdr>
          <w:top w:val="nil"/>
          <w:left w:val="nil"/>
          <w:bottom w:val="nil"/>
          <w:right w:val="nil"/>
          <w:between w:val="nil"/>
        </w:pBdr>
        <w:contextualSpacing/>
        <w:rPr>
          <w:highlight w:val="yellow"/>
        </w:rPr>
      </w:pPr>
    </w:p>
    <w:p w14:paraId="2FE0E964" w14:textId="6DBBBF9D" w:rsidR="00DC0ACF" w:rsidRPr="00CC3A4E" w:rsidRDefault="00DC0ACF" w:rsidP="00DC0ACF">
      <w:pPr>
        <w:pBdr>
          <w:top w:val="nil"/>
          <w:left w:val="nil"/>
          <w:bottom w:val="nil"/>
          <w:right w:val="nil"/>
          <w:between w:val="nil"/>
        </w:pBdr>
        <w:contextualSpacing/>
        <w:rPr>
          <w:b/>
          <w:bCs/>
          <w:i/>
          <w:iCs/>
        </w:rPr>
      </w:pPr>
      <w:r w:rsidRPr="00CC3A4E">
        <w:rPr>
          <w:b/>
          <w:bCs/>
          <w:i/>
          <w:iCs/>
        </w:rPr>
        <w:t xml:space="preserve">The amount of capital the </w:t>
      </w:r>
      <w:r w:rsidR="00DF738C">
        <w:rPr>
          <w:b/>
          <w:bCs/>
          <w:i/>
          <w:iCs/>
        </w:rPr>
        <w:t xml:space="preserve">Issuer </w:t>
      </w:r>
      <w:r w:rsidRPr="00CC3A4E">
        <w:rPr>
          <w:b/>
          <w:bCs/>
          <w:i/>
          <w:iCs/>
        </w:rPr>
        <w:t xml:space="preserve">is attempting to raise in this Offering may not be enough to sustain the </w:t>
      </w:r>
      <w:r w:rsidR="00DF738C">
        <w:rPr>
          <w:b/>
          <w:bCs/>
          <w:i/>
          <w:iCs/>
        </w:rPr>
        <w:t>Issuer</w:t>
      </w:r>
      <w:r w:rsidRPr="00CC3A4E">
        <w:rPr>
          <w:b/>
          <w:bCs/>
          <w:i/>
          <w:iCs/>
        </w:rPr>
        <w:t>’s current business plan.</w:t>
      </w:r>
    </w:p>
    <w:p w14:paraId="62667FD0" w14:textId="77777777" w:rsidR="00DC0ACF" w:rsidRDefault="00DC0ACF" w:rsidP="00DC0ACF">
      <w:pPr>
        <w:pBdr>
          <w:top w:val="nil"/>
          <w:left w:val="nil"/>
          <w:bottom w:val="nil"/>
          <w:right w:val="nil"/>
          <w:between w:val="nil"/>
        </w:pBdr>
        <w:contextualSpacing/>
      </w:pPr>
    </w:p>
    <w:p w14:paraId="11422A47" w14:textId="091022A5" w:rsidR="00DC0ACF" w:rsidRDefault="00DC0ACF" w:rsidP="00DC0ACF">
      <w:pPr>
        <w:pBdr>
          <w:top w:val="nil"/>
          <w:left w:val="nil"/>
          <w:bottom w:val="nil"/>
          <w:right w:val="nil"/>
          <w:between w:val="nil"/>
        </w:pBdr>
        <w:contextualSpacing/>
      </w:pPr>
      <w:r>
        <w:t xml:space="preserve">In order to achieve the </w:t>
      </w:r>
      <w:r w:rsidR="003648AE">
        <w:t>Issuer</w:t>
      </w:r>
      <w:r>
        <w:t xml:space="preserve">’s near and long-term goals, the </w:t>
      </w:r>
      <w:r w:rsidR="003648AE">
        <w:t>Issuer</w:t>
      </w:r>
      <w:r>
        <w:t xml:space="preserve"> may need to procure funds in addition to the amount raised in the Offering. There is no guarantee the </w:t>
      </w:r>
      <w:r w:rsidR="003648AE">
        <w:t>Issuer</w:t>
      </w:r>
      <w:r>
        <w:t xml:space="preserve"> will be able to raise such funds on acceptable terms or at all. If we are not able to raise sufficient capital in the future, we may not be able to execute our business plan, our continued operations will be in jeopardy and we may be forced to cease operations and sell or otherwise transfer all or substantially all of our remaining assets, which could cause an Investor to lose all or a portion of their investment.</w:t>
      </w:r>
    </w:p>
    <w:p w14:paraId="325CA5DC" w14:textId="77777777" w:rsidR="00DC0ACF" w:rsidRDefault="00DC0ACF" w:rsidP="00DC0ACF">
      <w:pPr>
        <w:pBdr>
          <w:top w:val="nil"/>
          <w:left w:val="nil"/>
          <w:bottom w:val="nil"/>
          <w:right w:val="nil"/>
          <w:between w:val="nil"/>
        </w:pBdr>
        <w:contextualSpacing/>
      </w:pPr>
    </w:p>
    <w:p w14:paraId="2753A803" w14:textId="77777777" w:rsidR="00DC0ACF" w:rsidRPr="00CC3A4E" w:rsidRDefault="00DC0ACF" w:rsidP="00DC0ACF">
      <w:pPr>
        <w:pBdr>
          <w:top w:val="nil"/>
          <w:left w:val="nil"/>
          <w:bottom w:val="nil"/>
          <w:right w:val="nil"/>
          <w:between w:val="nil"/>
        </w:pBdr>
        <w:contextualSpacing/>
        <w:rPr>
          <w:b/>
          <w:bCs/>
          <w:i/>
          <w:iCs/>
        </w:rPr>
      </w:pPr>
      <w:r w:rsidRPr="00CC3A4E">
        <w:rPr>
          <w:b/>
          <w:bCs/>
          <w:i/>
          <w:iCs/>
        </w:rPr>
        <w:t>We may face potential difficulties in obtaining capital.</w:t>
      </w:r>
    </w:p>
    <w:p w14:paraId="4F6152AE" w14:textId="77777777" w:rsidR="00DC0ACF" w:rsidRDefault="00DC0ACF" w:rsidP="00DC0ACF">
      <w:pPr>
        <w:pBdr>
          <w:top w:val="nil"/>
          <w:left w:val="nil"/>
          <w:bottom w:val="nil"/>
          <w:right w:val="nil"/>
          <w:between w:val="nil"/>
        </w:pBdr>
        <w:contextualSpacing/>
      </w:pPr>
    </w:p>
    <w:p w14:paraId="63ADC403" w14:textId="023104A8" w:rsidR="00DC0ACF" w:rsidRDefault="00DC0ACF" w:rsidP="00DC0ACF">
      <w:pPr>
        <w:pBdr>
          <w:top w:val="nil"/>
          <w:left w:val="nil"/>
          <w:bottom w:val="nil"/>
          <w:right w:val="nil"/>
          <w:between w:val="nil"/>
        </w:pBdr>
        <w:contextualSpacing/>
      </w:pPr>
      <w:r>
        <w:t xml:space="preserve">We may have difficulty raising needed capital in the future as a result of, among other factors, our lack of revenues from sales, as well as the inherent business risks associated with </w:t>
      </w:r>
      <w:r w:rsidR="003648AE">
        <w:t>the</w:t>
      </w:r>
      <w:r>
        <w:t xml:space="preserve"> </w:t>
      </w:r>
      <w:r w:rsidR="003648AE">
        <w:t>Issuer</w:t>
      </w:r>
      <w:r>
        <w:t xml:space="preserve"> and present and future market conditions. </w:t>
      </w:r>
      <w:r w:rsidR="0078680F">
        <w:t>Additionally, o</w:t>
      </w:r>
      <w:r w:rsidR="0078680F" w:rsidRPr="00B8231C">
        <w:t>ur future sources of revenue may not be sufficient to meet our future capital requirements.</w:t>
      </w:r>
      <w:r w:rsidR="0078680F">
        <w:t xml:space="preserve"> As such, we may require additional funds to execute our business strategy and conduct our operations. </w:t>
      </w:r>
      <w:r>
        <w:t>If adequate funds are unavailable, we may be required to delay, reduce the scope of or eliminate one or more of our research, development or commercialization programs, product launches or marketing efforts, any of which may materially harm our business, financial condition and results of operations.</w:t>
      </w:r>
    </w:p>
    <w:p w14:paraId="1C458906" w14:textId="77777777" w:rsidR="00DC0ACF" w:rsidRDefault="00DC0ACF" w:rsidP="00DC0ACF">
      <w:pPr>
        <w:pBdr>
          <w:top w:val="nil"/>
          <w:left w:val="nil"/>
          <w:bottom w:val="nil"/>
          <w:right w:val="nil"/>
          <w:between w:val="nil"/>
        </w:pBdr>
        <w:contextualSpacing/>
      </w:pPr>
    </w:p>
    <w:p w14:paraId="1D33FA02" w14:textId="353BEEE6" w:rsidR="009C1B28" w:rsidRPr="0045110A" w:rsidRDefault="009C1B28" w:rsidP="009C1B28">
      <w:pPr>
        <w:rPr>
          <w:b/>
          <w:bCs/>
          <w:i/>
          <w:iCs/>
        </w:rPr>
      </w:pPr>
      <w:r w:rsidRPr="00792666">
        <w:rPr>
          <w:b/>
          <w:bCs/>
          <w:i/>
          <w:iCs/>
        </w:rPr>
        <w:t xml:space="preserve">A </w:t>
      </w:r>
      <w:r>
        <w:rPr>
          <w:b/>
          <w:bCs/>
          <w:i/>
          <w:iCs/>
        </w:rPr>
        <w:t xml:space="preserve">substantial </w:t>
      </w:r>
      <w:r w:rsidRPr="00792666">
        <w:rPr>
          <w:b/>
          <w:bCs/>
          <w:i/>
          <w:iCs/>
        </w:rPr>
        <w:t xml:space="preserve">majority of the </w:t>
      </w:r>
      <w:r>
        <w:rPr>
          <w:b/>
          <w:bCs/>
          <w:i/>
          <w:iCs/>
        </w:rPr>
        <w:t xml:space="preserve">Issuer </w:t>
      </w:r>
      <w:r w:rsidRPr="00792666">
        <w:rPr>
          <w:b/>
          <w:bCs/>
          <w:i/>
          <w:iCs/>
        </w:rPr>
        <w:t>is owned by</w:t>
      </w:r>
      <w:r w:rsidRPr="0045110A">
        <w:rPr>
          <w:b/>
          <w:bCs/>
          <w:i/>
          <w:iCs/>
        </w:rPr>
        <w:t xml:space="preserve"> </w:t>
      </w:r>
      <w:r>
        <w:rPr>
          <w:b/>
          <w:bCs/>
          <w:i/>
          <w:iCs/>
        </w:rPr>
        <w:t>the founder and he will exercise voting control</w:t>
      </w:r>
      <w:r w:rsidRPr="0045110A">
        <w:rPr>
          <w:b/>
          <w:bCs/>
          <w:i/>
          <w:iCs/>
        </w:rPr>
        <w:t xml:space="preserve">. </w:t>
      </w:r>
    </w:p>
    <w:p w14:paraId="6E0AE2AF" w14:textId="77777777" w:rsidR="009C1B28" w:rsidRDefault="009C1B28" w:rsidP="009C1B28"/>
    <w:p w14:paraId="0C064CB6" w14:textId="20D58FA7" w:rsidR="009C1B28" w:rsidRDefault="009C1B28" w:rsidP="009C1B28">
      <w:pPr>
        <w:pBdr>
          <w:top w:val="nil"/>
          <w:left w:val="nil"/>
          <w:bottom w:val="nil"/>
          <w:right w:val="nil"/>
          <w:between w:val="nil"/>
        </w:pBdr>
        <w:contextualSpacing/>
      </w:pPr>
      <w:r>
        <w:t xml:space="preserve">Prior to the Offering, Sanjay Nediyara, the CEO and Founder of the Issuer, beneficially owns a substantial majority of the Issuer. Subject to any fiduciary duties owed to other stockholders under Delaware law, Mr. Nediyara may be able to exercise significant influence over matters requiring stockholder approval, including the election of directors or managers and approval of significant Issuer transactions, and will have significant control over the Issuer’s management and policies. Mr. Nediyara may have interests that are different from yours. For example, he may support proposals and actions with which you may disagree. The concentration of ownership could delay or prevent a change in control of the Issuer or otherwise discourage a potential acquirer from attempting to obtain control of the Issuer, which in turn could reduce the price potential investors are willing to pay for the Issuer. In addition, Mr. Nediyara  could use his voting influence to maintain the Issuer’s existing management, delay or prevent changes in control of </w:t>
      </w:r>
      <w:r>
        <w:lastRenderedPageBreak/>
        <w:t>the Issuer, issue additional securities which may dilute you, repurchase securities of the Issuer, enter into transactions with related parties or support or reject other management and board proposals that are subject to stockholder approval.</w:t>
      </w:r>
    </w:p>
    <w:p w14:paraId="31ACE567" w14:textId="77777777" w:rsidR="009C1B28" w:rsidRDefault="009C1B28" w:rsidP="009C1B28">
      <w:pPr>
        <w:pBdr>
          <w:top w:val="nil"/>
          <w:left w:val="nil"/>
          <w:bottom w:val="nil"/>
          <w:right w:val="nil"/>
          <w:between w:val="nil"/>
        </w:pBdr>
        <w:contextualSpacing/>
      </w:pPr>
    </w:p>
    <w:p w14:paraId="2F4B533D" w14:textId="68B98EEC" w:rsidR="00DC0ACF" w:rsidRPr="00CC3A4E" w:rsidRDefault="00DC0ACF" w:rsidP="009C1B28">
      <w:pPr>
        <w:pBdr>
          <w:top w:val="nil"/>
          <w:left w:val="nil"/>
          <w:bottom w:val="nil"/>
          <w:right w:val="nil"/>
          <w:between w:val="nil"/>
        </w:pBdr>
        <w:contextualSpacing/>
        <w:rPr>
          <w:b/>
          <w:bCs/>
          <w:i/>
          <w:iCs/>
        </w:rPr>
      </w:pPr>
      <w:r w:rsidRPr="00CC3A4E">
        <w:rPr>
          <w:b/>
          <w:bCs/>
          <w:i/>
          <w:iCs/>
        </w:rPr>
        <w:t>We may implement new lines of business or offer new products and services within existing lines of business.</w:t>
      </w:r>
    </w:p>
    <w:p w14:paraId="77C51BA1" w14:textId="77777777" w:rsidR="00DC0ACF" w:rsidRDefault="00DC0ACF" w:rsidP="00DC0ACF">
      <w:pPr>
        <w:pBdr>
          <w:top w:val="nil"/>
          <w:left w:val="nil"/>
          <w:bottom w:val="nil"/>
          <w:right w:val="nil"/>
          <w:between w:val="nil"/>
        </w:pBdr>
        <w:contextualSpacing/>
      </w:pPr>
    </w:p>
    <w:p w14:paraId="5FC1F2D6" w14:textId="77777777" w:rsidR="00DC0ACF" w:rsidRDefault="00DC0ACF" w:rsidP="00DC0ACF">
      <w:pPr>
        <w:pBdr>
          <w:top w:val="nil"/>
          <w:left w:val="nil"/>
          <w:bottom w:val="nil"/>
          <w:right w:val="nil"/>
          <w:between w:val="nil"/>
        </w:pBdr>
        <w:contextualSpacing/>
      </w:pPr>
      <w:r>
        <w:t>As an early-stage company, we may implement new lines of business at any time. There are substantial risks and uncertainties associated with these efforts, particularly in instances where the markets are not fully developed. In developing and marketing new lines of business and/or new products and services, we may invest significant time and resources. Initial timetables for the introduction and development of new lines of business and/or new products or services may not be achieved, and price and profitability targets may not prove feasible. We may not be successful in introducing new products and services in response to industry trends or developments in technology, or those new products may not achieve market acceptance. As a result, we could lose business, be forced to price products and services on less advantageous terms to retain or attract clients or be subject to cost increases. As a result, our business, financial condition or results of operations may be adversely affected.</w:t>
      </w:r>
    </w:p>
    <w:p w14:paraId="2E8DE59E" w14:textId="77777777" w:rsidR="00DC0ACF" w:rsidRDefault="00DC0ACF" w:rsidP="00DC0ACF">
      <w:pPr>
        <w:pBdr>
          <w:top w:val="nil"/>
          <w:left w:val="nil"/>
          <w:bottom w:val="nil"/>
          <w:right w:val="nil"/>
          <w:between w:val="nil"/>
        </w:pBdr>
        <w:contextualSpacing/>
      </w:pPr>
    </w:p>
    <w:p w14:paraId="33EDEAE7" w14:textId="77777777" w:rsidR="00291E9C" w:rsidRDefault="00291E9C" w:rsidP="00291E9C">
      <w:pPr>
        <w:pBdr>
          <w:top w:val="nil"/>
          <w:left w:val="nil"/>
          <w:bottom w:val="nil"/>
          <w:right w:val="nil"/>
          <w:between w:val="nil"/>
        </w:pBdr>
        <w:contextualSpacing/>
        <w:rPr>
          <w:b/>
          <w:bCs/>
          <w:i/>
          <w:iCs/>
        </w:rPr>
      </w:pPr>
      <w:bookmarkStart w:id="13" w:name="_Hlk72585573"/>
      <w:bookmarkStart w:id="14" w:name="_Hlk105959449"/>
      <w:r w:rsidRPr="009C1B28">
        <w:rPr>
          <w:b/>
          <w:bCs/>
          <w:i/>
          <w:iCs/>
        </w:rPr>
        <w:t>We rely on other companies to provide services for our products.</w:t>
      </w:r>
    </w:p>
    <w:p w14:paraId="49597F60" w14:textId="77777777" w:rsidR="00291E9C" w:rsidRDefault="00291E9C" w:rsidP="00291E9C">
      <w:pPr>
        <w:pBdr>
          <w:top w:val="nil"/>
          <w:left w:val="nil"/>
          <w:bottom w:val="nil"/>
          <w:right w:val="nil"/>
          <w:between w:val="nil"/>
        </w:pBdr>
        <w:contextualSpacing/>
      </w:pPr>
    </w:p>
    <w:p w14:paraId="09786F74" w14:textId="75345B02" w:rsidR="00291E9C" w:rsidRDefault="00291E9C" w:rsidP="00291E9C">
      <w:pPr>
        <w:pBdr>
          <w:top w:val="nil"/>
          <w:left w:val="nil"/>
          <w:bottom w:val="nil"/>
          <w:right w:val="nil"/>
          <w:between w:val="nil"/>
        </w:pBdr>
        <w:contextualSpacing/>
      </w:pPr>
      <w:r>
        <w:t xml:space="preserve">We depend on third party vendors to meet our contractual obligations to our customers and conduct our operations. Our ability to meet our obligations to our customers may be adversely affected if vendors do not provide the agreed-upon services in compliance with customer requirements and in a timely and cost-effective manner. Likewise, the quality of our services may be adversely impacted if companies to whom we delegate certain services do not perform to our, and our customers’, expectations. Our vendors may also be unable to quickly recover from natural disasters and other events beyond their control and may be subject to additional risks such as financial problems that limit their ability to conduct their operations. The risk of these adverse effects may be greater in circumstances where we rely on only one or two vendors for a particular service. </w:t>
      </w:r>
      <w:bookmarkEnd w:id="13"/>
    </w:p>
    <w:bookmarkEnd w:id="14"/>
    <w:p w14:paraId="6C5865FE" w14:textId="77777777" w:rsidR="00291E9C" w:rsidRDefault="00291E9C" w:rsidP="00291E9C">
      <w:pPr>
        <w:pBdr>
          <w:top w:val="nil"/>
          <w:left w:val="nil"/>
          <w:bottom w:val="nil"/>
          <w:right w:val="nil"/>
          <w:between w:val="nil"/>
        </w:pBdr>
        <w:contextualSpacing/>
      </w:pPr>
    </w:p>
    <w:p w14:paraId="164DAB99" w14:textId="6782C7C2" w:rsidR="00291E9C" w:rsidRPr="00CC3A4E" w:rsidRDefault="00291E9C" w:rsidP="00291E9C">
      <w:pPr>
        <w:pBdr>
          <w:top w:val="nil"/>
          <w:left w:val="nil"/>
          <w:bottom w:val="nil"/>
          <w:right w:val="nil"/>
          <w:between w:val="nil"/>
        </w:pBdr>
        <w:contextualSpacing/>
        <w:rPr>
          <w:b/>
          <w:bCs/>
          <w:i/>
          <w:iCs/>
        </w:rPr>
      </w:pPr>
      <w:r w:rsidRPr="00CC3A4E">
        <w:rPr>
          <w:b/>
          <w:bCs/>
          <w:i/>
          <w:iCs/>
        </w:rPr>
        <w:t>We rely on various intellectual property rights in order to operate our business.</w:t>
      </w:r>
    </w:p>
    <w:p w14:paraId="3CBCDCD5" w14:textId="77777777" w:rsidR="00291E9C" w:rsidRDefault="00291E9C" w:rsidP="00291E9C">
      <w:pPr>
        <w:pBdr>
          <w:top w:val="nil"/>
          <w:left w:val="nil"/>
          <w:bottom w:val="nil"/>
          <w:right w:val="nil"/>
          <w:between w:val="nil"/>
        </w:pBdr>
        <w:contextualSpacing/>
      </w:pPr>
    </w:p>
    <w:p w14:paraId="34709F76" w14:textId="4E0ACD00" w:rsidR="00291E9C" w:rsidRDefault="00291E9C" w:rsidP="00291E9C">
      <w:pPr>
        <w:pBdr>
          <w:top w:val="nil"/>
          <w:left w:val="nil"/>
          <w:bottom w:val="nil"/>
          <w:right w:val="nil"/>
          <w:between w:val="nil"/>
        </w:pBdr>
        <w:contextualSpacing/>
      </w:pPr>
      <w:r>
        <w:t xml:space="preserve">The </w:t>
      </w:r>
      <w:r w:rsidR="003648AE">
        <w:t>Issuer</w:t>
      </w:r>
      <w:r>
        <w:t xml:space="preserve"> relies on certain intellectual property rights</w:t>
      </w:r>
      <w:r w:rsidR="009C1B28">
        <w:t xml:space="preserve"> </w:t>
      </w:r>
      <w:r>
        <w:t xml:space="preserve">to operate its business. The </w:t>
      </w:r>
      <w:r w:rsidR="003648AE">
        <w:t>Issuer</w:t>
      </w:r>
      <w:r>
        <w:t xml:space="preserve">’s intellectual property rights may not be sufficiently broad or otherwise may not provide us a significant competitive advantage. In addition, the steps that we have taken to maintain and protect our intellectual property may not prevent it from being challenged, invalidated, circumvented or designed-around, particularly in countries where intellectual property rights are not highly developed or protected. In some circumstances, enforcement may not be available to us because an infringer has a dominant intellectual property position or for other business reasons, or countries may require compulsory licensing of our intellectual property. Our failure to obtain or maintain intellectual property rights that convey competitive advantage, adequately protect our intellectual property or detect or prevent circumvention or unauthorized use of such property, could adversely impact our competitive position and results of operations. We also rely on nondisclosure and noncompetition agreements with employees, consultants and other parties to protect, in part, trade secrets and other proprietary rights. There can be no assurance that these agreements will adequately protect our trade secrets and other proprietary rights and will not be breached, that we will have adequate remedies for any breach, that others will not independently develop substantially equivalent proprietary information or that third parties will not otherwise gain access to our trade secrets or other proprietary rights. As we expand our business, protecting our intellectual property will become increasingly important. The protective steps we have taken may be inadequate to deter our competitors from using our proprietary information. </w:t>
      </w:r>
      <w:r w:rsidRPr="00186D2A">
        <w:t>In order to protect or enforce our intellectual property rights</w:t>
      </w:r>
      <w:r w:rsidR="009C1B28">
        <w:t>,</w:t>
      </w:r>
      <w:r w:rsidR="001A4D26">
        <w:t xml:space="preserve"> </w:t>
      </w:r>
      <w:r w:rsidRPr="00186D2A">
        <w:t>we may be required to initiate litigation against third parties, such as infringement lawsuits</w:t>
      </w:r>
      <w:r>
        <w:t>. Also, these third parties may assert claims against us with or without provocation. These lawsuits could be expensive, take significant time and could divert management’s attention from other business concerns. We cannot assure you that we will prevail in any of these potential suits or that the damages or other remedies awarded, if any, would be commercially valuable.</w:t>
      </w:r>
    </w:p>
    <w:p w14:paraId="0AE8E7DF" w14:textId="77777777" w:rsidR="00DC0ACF" w:rsidRDefault="00DC0ACF" w:rsidP="00DC0ACF">
      <w:pPr>
        <w:pBdr>
          <w:top w:val="nil"/>
          <w:left w:val="nil"/>
          <w:bottom w:val="nil"/>
          <w:right w:val="nil"/>
          <w:between w:val="nil"/>
        </w:pBdr>
        <w:contextualSpacing/>
      </w:pPr>
    </w:p>
    <w:p w14:paraId="2414042B" w14:textId="74C6CFED" w:rsidR="00DC0ACF" w:rsidRPr="00D0194F" w:rsidRDefault="00DC0ACF" w:rsidP="00DC0ACF">
      <w:pPr>
        <w:pBdr>
          <w:top w:val="nil"/>
          <w:left w:val="nil"/>
          <w:bottom w:val="nil"/>
          <w:right w:val="nil"/>
          <w:between w:val="nil"/>
        </w:pBdr>
        <w:contextualSpacing/>
        <w:rPr>
          <w:b/>
          <w:bCs/>
          <w:i/>
          <w:iCs/>
        </w:rPr>
      </w:pPr>
      <w:r w:rsidRPr="00D0194F">
        <w:rPr>
          <w:b/>
          <w:bCs/>
          <w:i/>
          <w:iCs/>
        </w:rPr>
        <w:t>The</w:t>
      </w:r>
      <w:r w:rsidR="003648AE">
        <w:rPr>
          <w:b/>
          <w:bCs/>
          <w:i/>
          <w:iCs/>
        </w:rPr>
        <w:t xml:space="preserve"> Issuer</w:t>
      </w:r>
      <w:r w:rsidRPr="00D0194F">
        <w:rPr>
          <w:b/>
          <w:bCs/>
          <w:i/>
          <w:iCs/>
        </w:rPr>
        <w:t xml:space="preserve">’s success depends on the experience and skill of </w:t>
      </w:r>
      <w:r w:rsidR="00902AD5">
        <w:rPr>
          <w:b/>
          <w:bCs/>
          <w:i/>
          <w:iCs/>
        </w:rPr>
        <w:t>its</w:t>
      </w:r>
      <w:r w:rsidRPr="00D0194F">
        <w:rPr>
          <w:b/>
          <w:bCs/>
          <w:i/>
          <w:iCs/>
        </w:rPr>
        <w:t xml:space="preserve"> executive officers and key </w:t>
      </w:r>
      <w:r w:rsidR="00291E9C">
        <w:rPr>
          <w:b/>
          <w:bCs/>
          <w:i/>
          <w:iCs/>
        </w:rPr>
        <w:t>personnel</w:t>
      </w:r>
      <w:r w:rsidRPr="00D0194F">
        <w:rPr>
          <w:b/>
          <w:bCs/>
          <w:i/>
          <w:iCs/>
        </w:rPr>
        <w:t>.</w:t>
      </w:r>
    </w:p>
    <w:p w14:paraId="2EF0BB44" w14:textId="77777777" w:rsidR="00DC0ACF" w:rsidRPr="00D0194F" w:rsidRDefault="00DC0ACF" w:rsidP="00DC0ACF">
      <w:pPr>
        <w:pBdr>
          <w:top w:val="nil"/>
          <w:left w:val="nil"/>
          <w:bottom w:val="nil"/>
          <w:right w:val="nil"/>
          <w:between w:val="nil"/>
        </w:pBdr>
        <w:contextualSpacing/>
      </w:pPr>
    </w:p>
    <w:p w14:paraId="644CEAC8" w14:textId="14507859" w:rsidR="00DC0ACF" w:rsidRDefault="00DC0ACF" w:rsidP="00DC0ACF">
      <w:pPr>
        <w:pBdr>
          <w:top w:val="nil"/>
          <w:left w:val="nil"/>
          <w:bottom w:val="nil"/>
          <w:right w:val="nil"/>
          <w:between w:val="nil"/>
        </w:pBdr>
        <w:contextualSpacing/>
      </w:pPr>
      <w:r w:rsidRPr="00D0194F">
        <w:t xml:space="preserve">We are dependent on our executive officers and key </w:t>
      </w:r>
      <w:r w:rsidR="00291E9C">
        <w:t>personnel</w:t>
      </w:r>
      <w:r w:rsidRPr="00D0194F">
        <w:t xml:space="preserve">. These persons may not devote their full time and attention to the matters of the </w:t>
      </w:r>
      <w:r w:rsidR="003648AE">
        <w:t>Issuer</w:t>
      </w:r>
      <w:r w:rsidRPr="00D0194F">
        <w:t xml:space="preserve">. The loss of </w:t>
      </w:r>
      <w:r w:rsidR="0019602B">
        <w:t xml:space="preserve">all or any of </w:t>
      </w:r>
      <w:r w:rsidRPr="00D0194F">
        <w:t xml:space="preserve">our executive officers and key </w:t>
      </w:r>
      <w:r w:rsidR="00291E9C">
        <w:t>personnel</w:t>
      </w:r>
      <w:r w:rsidRPr="00D0194F">
        <w:t xml:space="preserve"> could harm the </w:t>
      </w:r>
      <w:r w:rsidR="003648AE">
        <w:t>Issuer</w:t>
      </w:r>
      <w:r w:rsidRPr="00D0194F">
        <w:t>’s business, financial condition, cash flow and results of operations.</w:t>
      </w:r>
    </w:p>
    <w:p w14:paraId="75D7D4A4" w14:textId="77777777" w:rsidR="00DC0ACF" w:rsidRDefault="00DC0ACF" w:rsidP="00DC0ACF">
      <w:pPr>
        <w:pBdr>
          <w:top w:val="nil"/>
          <w:left w:val="nil"/>
          <w:bottom w:val="nil"/>
          <w:right w:val="nil"/>
          <w:between w:val="nil"/>
        </w:pBdr>
        <w:contextualSpacing/>
      </w:pPr>
    </w:p>
    <w:p w14:paraId="74059D8C" w14:textId="6FDA0D1F" w:rsidR="00DC0ACF" w:rsidRPr="00CC3A4E" w:rsidRDefault="00DC0ACF" w:rsidP="00DC0ACF">
      <w:pPr>
        <w:pBdr>
          <w:top w:val="nil"/>
          <w:left w:val="nil"/>
          <w:bottom w:val="nil"/>
          <w:right w:val="nil"/>
          <w:between w:val="nil"/>
        </w:pBdr>
        <w:contextualSpacing/>
        <w:rPr>
          <w:b/>
          <w:bCs/>
          <w:i/>
          <w:iCs/>
        </w:rPr>
      </w:pPr>
      <w:r w:rsidRPr="00CC3A4E">
        <w:rPr>
          <w:b/>
          <w:bCs/>
          <w:i/>
          <w:iCs/>
        </w:rPr>
        <w:t xml:space="preserve">Although dependent on certain key personnel, the </w:t>
      </w:r>
      <w:r w:rsidR="003648AE">
        <w:rPr>
          <w:b/>
          <w:bCs/>
          <w:i/>
          <w:iCs/>
        </w:rPr>
        <w:t>Issuer</w:t>
      </w:r>
      <w:r w:rsidRPr="00CC3A4E">
        <w:rPr>
          <w:b/>
          <w:bCs/>
          <w:i/>
          <w:iCs/>
        </w:rPr>
        <w:t xml:space="preserve"> does not have any key </w:t>
      </w:r>
      <w:r>
        <w:rPr>
          <w:b/>
          <w:bCs/>
          <w:i/>
          <w:iCs/>
        </w:rPr>
        <w:t>person</w:t>
      </w:r>
      <w:r w:rsidRPr="00CC3A4E">
        <w:rPr>
          <w:b/>
          <w:bCs/>
          <w:i/>
          <w:iCs/>
        </w:rPr>
        <w:t xml:space="preserve"> life insurance policies on any such people.</w:t>
      </w:r>
    </w:p>
    <w:p w14:paraId="1679FB5F" w14:textId="77777777" w:rsidR="00DC0ACF" w:rsidRDefault="00DC0ACF" w:rsidP="00DC0ACF">
      <w:pPr>
        <w:pBdr>
          <w:top w:val="nil"/>
          <w:left w:val="nil"/>
          <w:bottom w:val="nil"/>
          <w:right w:val="nil"/>
          <w:between w:val="nil"/>
        </w:pBdr>
        <w:contextualSpacing/>
      </w:pPr>
    </w:p>
    <w:p w14:paraId="60AD3A8F" w14:textId="6E62A6A6" w:rsidR="00DC0ACF" w:rsidRDefault="00DC0ACF" w:rsidP="00DC0ACF">
      <w:pPr>
        <w:pBdr>
          <w:top w:val="nil"/>
          <w:left w:val="nil"/>
          <w:bottom w:val="nil"/>
          <w:right w:val="nil"/>
          <w:between w:val="nil"/>
        </w:pBdr>
        <w:contextualSpacing/>
      </w:pPr>
      <w:r>
        <w:t xml:space="preserve">We are dependent on certain key personnel in order to conduct our operations and execute our business plan, however, the </w:t>
      </w:r>
      <w:r w:rsidR="003648AE">
        <w:t>Issuer</w:t>
      </w:r>
      <w:r>
        <w:t xml:space="preserve"> has not purchased any insurance policies with respect to those individuals in the event of their death or </w:t>
      </w:r>
      <w:r>
        <w:lastRenderedPageBreak/>
        <w:t xml:space="preserve">disability. Therefore, if any of these personnel die or become disabled, the </w:t>
      </w:r>
      <w:r w:rsidR="003648AE">
        <w:t>Issuer</w:t>
      </w:r>
      <w:r>
        <w:t xml:space="preserve"> will not receive any compensation to assist with such person’s absence. The loss of such person could negatively affect the </w:t>
      </w:r>
      <w:r w:rsidR="00B22284">
        <w:t>Issuer</w:t>
      </w:r>
      <w:r>
        <w:t xml:space="preserve"> and our operations. We have no way to guarantee key personnel will stay with the </w:t>
      </w:r>
      <w:r w:rsidR="003648AE">
        <w:t>Issuer</w:t>
      </w:r>
      <w:r>
        <w:t>, as many states do not enforce non-competition agreements, and therefore acquiring key man insurance will not ameliorate all of the risk of relying on key personnel.</w:t>
      </w:r>
    </w:p>
    <w:p w14:paraId="70AC71FD" w14:textId="77777777" w:rsidR="00DC0ACF" w:rsidRDefault="00DC0ACF" w:rsidP="00DC0ACF">
      <w:pPr>
        <w:pBdr>
          <w:top w:val="nil"/>
          <w:left w:val="nil"/>
          <w:bottom w:val="nil"/>
          <w:right w:val="nil"/>
          <w:between w:val="nil"/>
        </w:pBdr>
        <w:contextualSpacing/>
      </w:pPr>
    </w:p>
    <w:p w14:paraId="7429ED6C" w14:textId="648CC1E1" w:rsidR="00E04C3D" w:rsidRPr="00383C3B" w:rsidRDefault="00E04C3D" w:rsidP="00E04C3D">
      <w:pPr>
        <w:pBdr>
          <w:top w:val="nil"/>
          <w:left w:val="nil"/>
          <w:bottom w:val="nil"/>
          <w:right w:val="nil"/>
          <w:between w:val="nil"/>
        </w:pBdr>
        <w:contextualSpacing/>
        <w:rPr>
          <w:b/>
          <w:bCs/>
          <w:i/>
          <w:iCs/>
        </w:rPr>
      </w:pPr>
      <w:r w:rsidRPr="00383C3B">
        <w:rPr>
          <w:b/>
          <w:bCs/>
          <w:i/>
          <w:iCs/>
        </w:rPr>
        <w:t xml:space="preserve">In order for the </w:t>
      </w:r>
      <w:r w:rsidR="003648AE">
        <w:rPr>
          <w:b/>
          <w:bCs/>
          <w:i/>
          <w:iCs/>
        </w:rPr>
        <w:t>Issuer</w:t>
      </w:r>
      <w:r w:rsidRPr="00383C3B">
        <w:rPr>
          <w:b/>
          <w:bCs/>
          <w:i/>
          <w:iCs/>
        </w:rPr>
        <w:t xml:space="preserve"> to compete and grow, it must attract, recruit, retain and develop the necessary personnel who have the needed experience. </w:t>
      </w:r>
    </w:p>
    <w:p w14:paraId="07863482" w14:textId="77777777" w:rsidR="00E04C3D" w:rsidRDefault="00E04C3D" w:rsidP="00E04C3D">
      <w:pPr>
        <w:shd w:val="clear" w:color="auto" w:fill="FFFFFF"/>
        <w:textAlignment w:val="top"/>
      </w:pPr>
    </w:p>
    <w:p w14:paraId="429924D6" w14:textId="77777777" w:rsidR="00E04C3D" w:rsidRPr="00383C3B" w:rsidRDefault="00E04C3D" w:rsidP="00E04C3D">
      <w:pPr>
        <w:shd w:val="clear" w:color="auto" w:fill="FFFFFF"/>
        <w:textAlignment w:val="top"/>
      </w:pPr>
      <w:r w:rsidRPr="00383C3B">
        <w:t xml:space="preserve">Recruiting and retaining highly qualified personnel is critical to our success. These demands may require us to hire additional personnel and will require our existing management </w:t>
      </w:r>
      <w:r>
        <w:t xml:space="preserve">and other </w:t>
      </w:r>
      <w:r w:rsidRPr="00383C3B">
        <w:t>personnel to develop additional expertise. We face intense competition for personnel</w:t>
      </w:r>
      <w:bookmarkStart w:id="15" w:name="_Hlk87045340"/>
      <w:r>
        <w:t>, making recruitment time-consuming and expensive</w:t>
      </w:r>
      <w:bookmarkEnd w:id="15"/>
      <w:r w:rsidRPr="00383C3B">
        <w:t>. The failure to attract and retain personnel or to develop such expertise could delay or halt the development and commercialization of our product candidates. If we experience difficulties in hiring and retaining personnel in key positions, we could suffer from delays in product development, loss of customers and sales and diversion of management resources, which could adversely affect operating results. Our consultants and advisors may be employed by third parties and may have commitments under consulting or advisory contracts with third parties that may limit their availability to us</w:t>
      </w:r>
      <w:bookmarkStart w:id="16" w:name="_Hlk87045355"/>
      <w:r>
        <w:t>,</w:t>
      </w:r>
      <w:r w:rsidRPr="002808FF">
        <w:t xml:space="preserve"> </w:t>
      </w:r>
      <w:r>
        <w:t>which could further delay or disrupt our product development and growth plans</w:t>
      </w:r>
      <w:bookmarkEnd w:id="16"/>
      <w:r w:rsidRPr="00383C3B">
        <w:t>.</w:t>
      </w:r>
    </w:p>
    <w:p w14:paraId="68679282" w14:textId="77777777" w:rsidR="00E04C3D" w:rsidRDefault="00E04C3D" w:rsidP="00DC0ACF">
      <w:pPr>
        <w:pBdr>
          <w:top w:val="nil"/>
          <w:left w:val="nil"/>
          <w:bottom w:val="nil"/>
          <w:right w:val="nil"/>
          <w:between w:val="nil"/>
        </w:pBdr>
        <w:contextualSpacing/>
        <w:rPr>
          <w:b/>
          <w:bCs/>
          <w:i/>
          <w:iCs/>
        </w:rPr>
      </w:pPr>
    </w:p>
    <w:p w14:paraId="376EC9B1" w14:textId="77777777" w:rsidR="00E04C3D" w:rsidRPr="00D71438" w:rsidRDefault="00E04C3D" w:rsidP="00E04C3D">
      <w:pPr>
        <w:pBdr>
          <w:top w:val="nil"/>
          <w:left w:val="nil"/>
          <w:bottom w:val="nil"/>
          <w:right w:val="nil"/>
          <w:between w:val="nil"/>
        </w:pBdr>
        <w:contextualSpacing/>
        <w:rPr>
          <w:b/>
          <w:bCs/>
          <w:i/>
          <w:iCs/>
        </w:rPr>
      </w:pPr>
      <w:r w:rsidRPr="00D71438">
        <w:rPr>
          <w:b/>
          <w:bCs/>
          <w:i/>
          <w:iCs/>
        </w:rPr>
        <w:t>We need to rapidly and successfully develop and introduce new products in a competitive, demanding and rapidly changing environment.</w:t>
      </w:r>
    </w:p>
    <w:p w14:paraId="303C6930" w14:textId="77777777" w:rsidR="00E04C3D" w:rsidRPr="00D71438" w:rsidRDefault="00E04C3D" w:rsidP="00E04C3D">
      <w:pPr>
        <w:pBdr>
          <w:top w:val="nil"/>
          <w:left w:val="nil"/>
          <w:bottom w:val="nil"/>
          <w:right w:val="nil"/>
          <w:between w:val="nil"/>
        </w:pBdr>
        <w:contextualSpacing/>
      </w:pPr>
    </w:p>
    <w:p w14:paraId="189C20C5" w14:textId="77777777" w:rsidR="00E04C3D" w:rsidRPr="00D71438" w:rsidRDefault="00E04C3D" w:rsidP="00E04C3D">
      <w:pPr>
        <w:pBdr>
          <w:top w:val="nil"/>
          <w:left w:val="nil"/>
          <w:bottom w:val="nil"/>
          <w:right w:val="nil"/>
          <w:between w:val="nil"/>
        </w:pBdr>
        <w:contextualSpacing/>
      </w:pPr>
      <w:r w:rsidRPr="00D71438">
        <w:t xml:space="preserve">To succeed in our intensely competitive industry, we must continually improve, refresh and expand our product and service offerings to include newer features, functionality or solutions, and keep pace with </w:t>
      </w:r>
      <w:r>
        <w:t>changes</w:t>
      </w:r>
      <w:r w:rsidRPr="00D71438">
        <w:t xml:space="preserve"> in the industry. Shortened product life cycles due to </w:t>
      </w:r>
      <w:r>
        <w:t xml:space="preserve">changing </w:t>
      </w:r>
      <w:r w:rsidRPr="00D71438">
        <w:t xml:space="preserve">customer demands and competitive pressures </w:t>
      </w:r>
      <w:r>
        <w:t xml:space="preserve">may </w:t>
      </w:r>
      <w:r w:rsidRPr="00D71438">
        <w:t xml:space="preserve">impact the pace at which we must introduce </w:t>
      </w:r>
      <w:r>
        <w:t>new products</w:t>
      </w:r>
      <w:r w:rsidRPr="00A46C2B">
        <w:t xml:space="preserve"> </w:t>
      </w:r>
      <w:r>
        <w:t xml:space="preserve">or </w:t>
      </w:r>
      <w:r w:rsidRPr="00D71438">
        <w:t xml:space="preserve">implement new </w:t>
      </w:r>
      <w:r>
        <w:t>functions or solutions</w:t>
      </w:r>
      <w:r w:rsidRPr="00D71438">
        <w:t xml:space="preserve">. In addition, bringing new </w:t>
      </w:r>
      <w:r>
        <w:t xml:space="preserve">products or </w:t>
      </w:r>
      <w:r w:rsidRPr="00D71438">
        <w:t xml:space="preserve">solutions to the market entails a costly and lengthy process, and requires us to accurately anticipate </w:t>
      </w:r>
      <w:r>
        <w:t xml:space="preserve">changing </w:t>
      </w:r>
      <w:r w:rsidRPr="00D71438">
        <w:t xml:space="preserve">customer needs and trends. We must continue to respond to </w:t>
      </w:r>
      <w:r>
        <w:t xml:space="preserve">changing </w:t>
      </w:r>
      <w:r w:rsidRPr="00D71438">
        <w:t>market demands</w:t>
      </w:r>
      <w:r>
        <w:t xml:space="preserve"> and trends </w:t>
      </w:r>
      <w:r w:rsidRPr="00D71438">
        <w:t xml:space="preserve">or our business operations may be adversely affected. </w:t>
      </w:r>
    </w:p>
    <w:p w14:paraId="38A1E03C" w14:textId="77777777" w:rsidR="00E04C3D" w:rsidRPr="00D71438" w:rsidRDefault="00E04C3D" w:rsidP="00E04C3D">
      <w:pPr>
        <w:pBdr>
          <w:top w:val="nil"/>
          <w:left w:val="nil"/>
          <w:bottom w:val="nil"/>
          <w:right w:val="nil"/>
          <w:between w:val="nil"/>
        </w:pBdr>
        <w:contextualSpacing/>
      </w:pPr>
    </w:p>
    <w:p w14:paraId="35244041" w14:textId="77777777" w:rsidR="00E04C3D" w:rsidRPr="00D71438" w:rsidRDefault="00E04C3D" w:rsidP="00E04C3D">
      <w:pPr>
        <w:pBdr>
          <w:top w:val="nil"/>
          <w:left w:val="nil"/>
          <w:bottom w:val="nil"/>
          <w:right w:val="nil"/>
          <w:between w:val="nil"/>
        </w:pBdr>
        <w:contextualSpacing/>
        <w:rPr>
          <w:b/>
          <w:bCs/>
          <w:i/>
          <w:iCs/>
        </w:rPr>
      </w:pPr>
      <w:r w:rsidRPr="00D71438">
        <w:rPr>
          <w:b/>
          <w:bCs/>
          <w:i/>
          <w:iCs/>
        </w:rPr>
        <w:t xml:space="preserve">The development and commercialization of our products is highly competitive. </w:t>
      </w:r>
    </w:p>
    <w:p w14:paraId="4AC1CB04" w14:textId="77777777" w:rsidR="00E04C3D" w:rsidRPr="00D71438" w:rsidRDefault="00E04C3D" w:rsidP="00E04C3D">
      <w:pPr>
        <w:pBdr>
          <w:top w:val="nil"/>
          <w:left w:val="nil"/>
          <w:bottom w:val="nil"/>
          <w:right w:val="nil"/>
          <w:between w:val="nil"/>
        </w:pBdr>
        <w:contextualSpacing/>
      </w:pPr>
    </w:p>
    <w:p w14:paraId="07962449" w14:textId="77777777" w:rsidR="00E04C3D" w:rsidRDefault="00E04C3D" w:rsidP="00E04C3D">
      <w:pPr>
        <w:pBdr>
          <w:top w:val="nil"/>
          <w:left w:val="nil"/>
          <w:bottom w:val="nil"/>
          <w:right w:val="nil"/>
          <w:between w:val="nil"/>
        </w:pBdr>
        <w:contextualSpacing/>
      </w:pPr>
      <w:r w:rsidRPr="00D71438">
        <w:t xml:space="preserve">We face competition with respect to any products that we may seek to develop or commercialize in the future. Our competitors include major companies worldwide. Many of our competitors have significantly greater financial, technical and human resources than we have and superior expertise in research and development and marketing approved products and thus may be better equipped than us to develop and commercialize products. These competitors also compete with us in recruiting and retaining qualified personnel and acquiring technologies. Smaller or early stage companies may also prove to be significant competitors, particularly through collaborative arrangements with large and established companies. Accordingly, our competitors may commercialize products more rapidly or effectively than we are able to, which would adversely affect our competitive position, the likelihood that our products will achieve initial market acceptance, and our ability to generate meaningful additional revenues from our products. </w:t>
      </w:r>
    </w:p>
    <w:p w14:paraId="25FAB11B" w14:textId="77777777" w:rsidR="00E04C3D" w:rsidRPr="00D71438" w:rsidRDefault="00E04C3D" w:rsidP="00E04C3D">
      <w:pPr>
        <w:pBdr>
          <w:top w:val="nil"/>
          <w:left w:val="nil"/>
          <w:bottom w:val="nil"/>
          <w:right w:val="nil"/>
          <w:between w:val="nil"/>
        </w:pBdr>
        <w:contextualSpacing/>
      </w:pPr>
    </w:p>
    <w:p w14:paraId="1D690F35" w14:textId="77777777" w:rsidR="00E04C3D" w:rsidRPr="00D71438" w:rsidRDefault="00E04C3D" w:rsidP="00E04C3D">
      <w:pPr>
        <w:pBdr>
          <w:top w:val="nil"/>
          <w:left w:val="nil"/>
          <w:bottom w:val="nil"/>
          <w:right w:val="nil"/>
          <w:between w:val="nil"/>
        </w:pBdr>
        <w:contextualSpacing/>
        <w:rPr>
          <w:b/>
          <w:bCs/>
          <w:i/>
          <w:iCs/>
        </w:rPr>
      </w:pPr>
      <w:r w:rsidRPr="00D71438">
        <w:rPr>
          <w:b/>
          <w:bCs/>
          <w:i/>
          <w:iCs/>
        </w:rPr>
        <w:t xml:space="preserve">Industry consolidation may result in increased competition, which could result in a loss of customers or a reduction in revenue. </w:t>
      </w:r>
    </w:p>
    <w:p w14:paraId="62793925" w14:textId="77777777" w:rsidR="00E04C3D" w:rsidRDefault="00E04C3D" w:rsidP="00E04C3D">
      <w:pPr>
        <w:pBdr>
          <w:top w:val="nil"/>
          <w:left w:val="nil"/>
          <w:bottom w:val="nil"/>
          <w:right w:val="nil"/>
          <w:between w:val="nil"/>
        </w:pBdr>
        <w:contextualSpacing/>
      </w:pPr>
    </w:p>
    <w:p w14:paraId="5F9238ED" w14:textId="77777777" w:rsidR="00E04C3D" w:rsidRPr="00D71438" w:rsidRDefault="00E04C3D" w:rsidP="00E04C3D">
      <w:pPr>
        <w:pBdr>
          <w:top w:val="nil"/>
          <w:left w:val="nil"/>
          <w:bottom w:val="nil"/>
          <w:right w:val="nil"/>
          <w:between w:val="nil"/>
        </w:pBdr>
        <w:contextualSpacing/>
      </w:pPr>
      <w:r w:rsidRPr="00D71438">
        <w:t xml:space="preserve">Some of our competitors have made or may make acquisitions or may enter into partnerships or other strategic relationships to offer more comprehensive services than they individually had offered or achieve greater economies of scale. In addition, new entrants not currently considered to be competitors may enter our market through acquisitions, partnerships or strategic relationships. We expect these trends to continue as companies attempt to strengthen or maintain their market positions. The potential entrants may have competitive advantages over us, such as greater name recognition, longer operating histories, more varied services and larger marketing budgets, as well as greater financial, technical and other resources. The companies resulting from combinations or that expand or vertically integrate their business to include the market that we address may create more compelling service offerings and may offer greater pricing flexibility than we can or may engage in business practices that make it more difficult for us to compete effectively, including on the basis of price, sales and marketing programs, technology or service functionality. These pressures could result in a substantial loss of our customers or a reduction in our revenue. </w:t>
      </w:r>
    </w:p>
    <w:p w14:paraId="079EB8F0" w14:textId="77777777" w:rsidR="00E04C3D" w:rsidRDefault="00E04C3D" w:rsidP="00E04C3D">
      <w:pPr>
        <w:pBdr>
          <w:top w:val="nil"/>
          <w:left w:val="nil"/>
          <w:bottom w:val="nil"/>
          <w:right w:val="nil"/>
          <w:between w:val="nil"/>
        </w:pBdr>
        <w:contextualSpacing/>
        <w:rPr>
          <w:b/>
          <w:bCs/>
          <w:i/>
          <w:iCs/>
        </w:rPr>
      </w:pPr>
    </w:p>
    <w:p w14:paraId="6F2984AF" w14:textId="4DCD06BF" w:rsidR="00E04C3D" w:rsidRPr="008E458B" w:rsidRDefault="00E04C3D" w:rsidP="00E04C3D">
      <w:pPr>
        <w:rPr>
          <w:b/>
          <w:bCs/>
          <w:i/>
          <w:iCs/>
        </w:rPr>
      </w:pPr>
      <w:r w:rsidRPr="00D341CE">
        <w:rPr>
          <w:b/>
          <w:bCs/>
          <w:i/>
          <w:iCs/>
        </w:rPr>
        <w:t>We face various risks as an e-commerce retailer.</w:t>
      </w:r>
      <w:r w:rsidRPr="008E458B">
        <w:rPr>
          <w:b/>
          <w:bCs/>
          <w:i/>
          <w:iCs/>
        </w:rPr>
        <w:t xml:space="preserve"> </w:t>
      </w:r>
    </w:p>
    <w:p w14:paraId="26D421F1" w14:textId="77777777" w:rsidR="00E04C3D" w:rsidRPr="000E6DAD" w:rsidRDefault="00E04C3D" w:rsidP="00E04C3D">
      <w:pPr>
        <w:rPr>
          <w:b/>
          <w:bCs/>
        </w:rPr>
      </w:pPr>
    </w:p>
    <w:p w14:paraId="3326D179" w14:textId="70747C95" w:rsidR="00E04C3D" w:rsidRDefault="00072B03" w:rsidP="00E04C3D">
      <w:pPr>
        <w:pBdr>
          <w:top w:val="nil"/>
          <w:left w:val="nil"/>
          <w:bottom w:val="nil"/>
          <w:right w:val="nil"/>
          <w:between w:val="nil"/>
        </w:pBdr>
        <w:contextualSpacing/>
      </w:pPr>
      <w:r>
        <w:t>We operate a business that sells directly to consumers via e-commerce. This may require additional in</w:t>
      </w:r>
      <w:r w:rsidR="00E04C3D" w:rsidRPr="000E6DAD">
        <w:t xml:space="preserve">vestments to </w:t>
      </w:r>
      <w:r>
        <w:t xml:space="preserve">sustain or </w:t>
      </w:r>
      <w:r w:rsidR="00E04C3D" w:rsidRPr="000E6DAD">
        <w:t>grow our e-commerce business</w:t>
      </w:r>
      <w:r>
        <w:t>, including increased c</w:t>
      </w:r>
      <w:r w:rsidR="00E04C3D">
        <w:t>apital</w:t>
      </w:r>
      <w:r>
        <w:t xml:space="preserve"> requirements</w:t>
      </w:r>
      <w:r w:rsidR="00E04C3D">
        <w:t xml:space="preserve">. </w:t>
      </w:r>
      <w:r>
        <w:t>Additionally, there are b</w:t>
      </w:r>
      <w:r w:rsidR="00E04C3D">
        <w:t xml:space="preserve">usiness </w:t>
      </w:r>
      <w:r w:rsidR="00E04C3D">
        <w:lastRenderedPageBreak/>
        <w:t xml:space="preserve">risks </w:t>
      </w:r>
      <w:r>
        <w:t xml:space="preserve">we face </w:t>
      </w:r>
      <w:r w:rsidR="00E04C3D">
        <w:t>related to o</w:t>
      </w:r>
      <w:r>
        <w:t xml:space="preserve">perating our </w:t>
      </w:r>
      <w:r w:rsidR="00E04C3D">
        <w:t xml:space="preserve">e-commerce business </w:t>
      </w:r>
      <w:r>
        <w:t xml:space="preserve">which </w:t>
      </w:r>
      <w:r w:rsidR="00E04C3D">
        <w:t xml:space="preserve">include our inability to keep pace with rapid technological change, failure in our security procedures or operational controls, failure or inadequacy in our systems or labor resource levels to effectively process customer orders in a timely manner, government regulation and legal uncertainties with respect to e-commerce, and </w:t>
      </w:r>
      <w:r>
        <w:t xml:space="preserve">the </w:t>
      </w:r>
      <w:r w:rsidR="00E04C3D">
        <w:t xml:space="preserve">collection of sales or other taxes by one or more states or foreign jurisdictions. If any of these risks materialize, they could have an adverse effect on our business. In addition, </w:t>
      </w:r>
      <w:r>
        <w:t>we</w:t>
      </w:r>
      <w:r w:rsidR="00E04C3D">
        <w:t xml:space="preserve"> may face increased competition in the future from </w:t>
      </w:r>
      <w:r w:rsidR="00D341CE">
        <w:t>new entrants</w:t>
      </w:r>
      <w:r w:rsidR="00E04C3D">
        <w:t xml:space="preserve"> who enter the market. Our failure to positively differentiate our product and services offerings or customer experience from these </w:t>
      </w:r>
      <w:r>
        <w:t xml:space="preserve">new </w:t>
      </w:r>
      <w:r w:rsidR="00D341CE">
        <w:t>e-commerce</w:t>
      </w:r>
      <w:r w:rsidR="00E04C3D">
        <w:t xml:space="preserve"> retailers could have a material adverse effect on our business, financial condition and results of operations.</w:t>
      </w:r>
    </w:p>
    <w:p w14:paraId="417C5443" w14:textId="77777777" w:rsidR="00E04C3D" w:rsidRDefault="00E04C3D" w:rsidP="00DC0ACF">
      <w:pPr>
        <w:pBdr>
          <w:top w:val="nil"/>
          <w:left w:val="nil"/>
          <w:bottom w:val="nil"/>
          <w:right w:val="nil"/>
          <w:between w:val="nil"/>
        </w:pBdr>
        <w:contextualSpacing/>
        <w:rPr>
          <w:b/>
          <w:bCs/>
          <w:i/>
          <w:iCs/>
        </w:rPr>
      </w:pPr>
    </w:p>
    <w:p w14:paraId="0C197149" w14:textId="33AAC79E" w:rsidR="009120A0" w:rsidRPr="0089429E" w:rsidRDefault="009120A0" w:rsidP="009120A0">
      <w:pPr>
        <w:rPr>
          <w:b/>
          <w:bCs/>
          <w:i/>
          <w:iCs/>
        </w:rPr>
      </w:pPr>
      <w:r w:rsidRPr="00463105">
        <w:rPr>
          <w:b/>
          <w:bCs/>
          <w:i/>
          <w:iCs/>
        </w:rPr>
        <w:t xml:space="preserve">If we are unsuccessful in adding </w:t>
      </w:r>
      <w:r>
        <w:rPr>
          <w:b/>
          <w:bCs/>
          <w:i/>
          <w:iCs/>
        </w:rPr>
        <w:t xml:space="preserve">users of our </w:t>
      </w:r>
      <w:r w:rsidR="009C1B28">
        <w:rPr>
          <w:b/>
          <w:bCs/>
          <w:i/>
          <w:iCs/>
        </w:rPr>
        <w:t>services</w:t>
      </w:r>
      <w:r>
        <w:rPr>
          <w:b/>
          <w:bCs/>
          <w:i/>
          <w:iCs/>
        </w:rPr>
        <w:t xml:space="preserve">, or </w:t>
      </w:r>
      <w:r w:rsidRPr="00463105">
        <w:rPr>
          <w:b/>
          <w:bCs/>
          <w:i/>
          <w:iCs/>
        </w:rPr>
        <w:t xml:space="preserve">if our clients decrease their level of </w:t>
      </w:r>
      <w:r w:rsidR="009C1B28">
        <w:rPr>
          <w:b/>
          <w:bCs/>
          <w:i/>
          <w:iCs/>
        </w:rPr>
        <w:t>use</w:t>
      </w:r>
      <w:r w:rsidRPr="00463105">
        <w:rPr>
          <w:b/>
          <w:bCs/>
          <w:i/>
          <w:iCs/>
        </w:rPr>
        <w:t>, our revenue, financial results, and business may be significantly harmed.</w:t>
      </w:r>
      <w:r w:rsidRPr="0089429E">
        <w:rPr>
          <w:b/>
          <w:bCs/>
          <w:i/>
          <w:iCs/>
        </w:rPr>
        <w:t xml:space="preserve"> </w:t>
      </w:r>
    </w:p>
    <w:p w14:paraId="471BB112" w14:textId="77777777" w:rsidR="009120A0" w:rsidRDefault="009120A0" w:rsidP="009120A0"/>
    <w:p w14:paraId="12EB8B47" w14:textId="46D3186E" w:rsidR="009120A0" w:rsidRDefault="009120A0" w:rsidP="009120A0">
      <w:pPr>
        <w:pBdr>
          <w:top w:val="nil"/>
          <w:left w:val="nil"/>
          <w:bottom w:val="nil"/>
          <w:right w:val="nil"/>
          <w:between w:val="nil"/>
        </w:pBdr>
        <w:contextualSpacing/>
      </w:pPr>
      <w:r>
        <w:t xml:space="preserve">We offer an </w:t>
      </w:r>
      <w:r w:rsidR="009C1B28">
        <w:t>all-in-one platform that assist entrepreneurs to setup their business, and run their back office operations from a single platform</w:t>
      </w:r>
      <w:r w:rsidRPr="002D7B10">
        <w:rPr>
          <w:color w:val="222222"/>
          <w:spacing w:val="-4"/>
        </w:rPr>
        <w:t>.</w:t>
      </w:r>
      <w:r>
        <w:t xml:space="preserve"> The amount of users of our </w:t>
      </w:r>
      <w:r w:rsidR="009C1B28">
        <w:t>services</w:t>
      </w:r>
      <w:r>
        <w:t xml:space="preserve"> and our client’s level of </w:t>
      </w:r>
      <w:r w:rsidR="009C1B28">
        <w:t>use</w:t>
      </w:r>
      <w:r>
        <w:t xml:space="preserve"> will be critical to our success. Our financial performance will be significantly determined by our success in adding, retaining, and engaging active users of our services. If clients do not perceive our </w:t>
      </w:r>
      <w:r w:rsidR="009C1B28">
        <w:t xml:space="preserve">services </w:t>
      </w:r>
      <w:r>
        <w:t>to be useful, reliable, and trustworthy, we may not be able to attract or retain users or otherwise maintain or increase the frequency and duration of their engagement. There is no guarantee that we will not experience an erosion of our active client base or engagement levels in the future.</w:t>
      </w:r>
    </w:p>
    <w:p w14:paraId="62779F4B" w14:textId="77777777" w:rsidR="009120A0" w:rsidRDefault="009120A0" w:rsidP="009120A0">
      <w:pPr>
        <w:pBdr>
          <w:top w:val="nil"/>
          <w:left w:val="nil"/>
          <w:bottom w:val="nil"/>
          <w:right w:val="nil"/>
          <w:between w:val="nil"/>
        </w:pBdr>
        <w:contextualSpacing/>
      </w:pPr>
    </w:p>
    <w:p w14:paraId="229DE249" w14:textId="714AED1F" w:rsidR="00DC0ACF" w:rsidRPr="00CC3A4E" w:rsidRDefault="00DC0ACF" w:rsidP="009120A0">
      <w:pPr>
        <w:pBdr>
          <w:top w:val="nil"/>
          <w:left w:val="nil"/>
          <w:bottom w:val="nil"/>
          <w:right w:val="nil"/>
          <w:between w:val="nil"/>
        </w:pBdr>
        <w:contextualSpacing/>
        <w:rPr>
          <w:b/>
          <w:bCs/>
          <w:i/>
          <w:iCs/>
        </w:rPr>
      </w:pPr>
      <w:r w:rsidRPr="00CC3A4E">
        <w:rPr>
          <w:b/>
          <w:bCs/>
          <w:i/>
          <w:iCs/>
        </w:rPr>
        <w:t>Damage to our reputation could negatively impact our business, financial condition and results of operations.</w:t>
      </w:r>
    </w:p>
    <w:p w14:paraId="1DFEC93D" w14:textId="77777777" w:rsidR="00DC0ACF" w:rsidRDefault="00DC0ACF" w:rsidP="00DC0ACF">
      <w:pPr>
        <w:pBdr>
          <w:top w:val="nil"/>
          <w:left w:val="nil"/>
          <w:bottom w:val="nil"/>
          <w:right w:val="nil"/>
          <w:between w:val="nil"/>
        </w:pBdr>
        <w:contextualSpacing/>
      </w:pPr>
    </w:p>
    <w:p w14:paraId="527ADDE9" w14:textId="77777777" w:rsidR="00DC0ACF" w:rsidRDefault="00DC0ACF" w:rsidP="00DC0ACF">
      <w:pPr>
        <w:pBdr>
          <w:top w:val="nil"/>
          <w:left w:val="nil"/>
          <w:bottom w:val="nil"/>
          <w:right w:val="nil"/>
          <w:between w:val="nil"/>
        </w:pBdr>
        <w:contextualSpacing/>
      </w:pPr>
      <w:r>
        <w:t>Our reputation and the quality of our brand are critical to our business and success in existing markets, and will be critical to our success as we enter new markets. Any incident that erodes consumer loyalty for our brand could significantly reduce its value and damage our business. We may be adversely affected by any negative publicity, regardless of its accuracy. Also, there has been a marked increase in the use of social media platforms and similar devices, including blogs, social media websites and other forms of internet-based communications that provide individuals with access to a broad audience of consumers and other interested persons. The availability of information on social media platforms is virtually immediate as is its impact. Information posted may be adverse to our interests or may be inaccurate, each of which may harm our performance, prospects or business. The harm may be immediate and may disseminate rapidly and broadly, without affording us an opportunity for redress or correction.</w:t>
      </w:r>
    </w:p>
    <w:p w14:paraId="4EA008B0" w14:textId="77777777" w:rsidR="00DC0ACF" w:rsidRDefault="00DC0ACF" w:rsidP="00DC0ACF">
      <w:pPr>
        <w:pBdr>
          <w:top w:val="nil"/>
          <w:left w:val="nil"/>
          <w:bottom w:val="nil"/>
          <w:right w:val="nil"/>
          <w:between w:val="nil"/>
        </w:pBdr>
        <w:contextualSpacing/>
      </w:pPr>
    </w:p>
    <w:p w14:paraId="0B5186D4" w14:textId="77777777" w:rsidR="00E04C3D" w:rsidRPr="00383C3B" w:rsidRDefault="00E04C3D" w:rsidP="00E04C3D">
      <w:pPr>
        <w:pBdr>
          <w:top w:val="nil"/>
          <w:left w:val="nil"/>
          <w:bottom w:val="nil"/>
          <w:right w:val="nil"/>
          <w:between w:val="nil"/>
        </w:pBdr>
        <w:contextualSpacing/>
        <w:rPr>
          <w:b/>
          <w:bCs/>
          <w:i/>
          <w:iCs/>
        </w:rPr>
      </w:pPr>
      <w:r w:rsidRPr="00383C3B">
        <w:rPr>
          <w:b/>
          <w:bCs/>
          <w:i/>
          <w:iCs/>
        </w:rPr>
        <w:t xml:space="preserve">We have not prepared any audited financial statements. </w:t>
      </w:r>
    </w:p>
    <w:p w14:paraId="51AE200C" w14:textId="77777777" w:rsidR="00E04C3D" w:rsidRPr="00383C3B" w:rsidRDefault="00E04C3D" w:rsidP="00E04C3D">
      <w:pPr>
        <w:contextualSpacing/>
        <w:textAlignment w:val="top"/>
      </w:pPr>
    </w:p>
    <w:p w14:paraId="67970D25" w14:textId="44A1F237" w:rsidR="00E04C3D" w:rsidRDefault="00E04C3D" w:rsidP="00E04C3D">
      <w:pPr>
        <w:contextualSpacing/>
        <w:textAlignment w:val="top"/>
      </w:pPr>
      <w:r>
        <w:t xml:space="preserve">The financial statements attached as Exhibit A to this Form C have been “reviewed” only and such financial statements have not been verified with outside evidence as to management’s amounts and disclosures. Additionally, tests on internal controls have not been conducted. </w:t>
      </w:r>
      <w:r w:rsidRPr="00383C3B">
        <w:t xml:space="preserve">Therefore, you </w:t>
      </w:r>
      <w:r>
        <w:t xml:space="preserve">will </w:t>
      </w:r>
      <w:r w:rsidRPr="00383C3B">
        <w:t xml:space="preserve">have no audited financial information regarding the </w:t>
      </w:r>
      <w:r w:rsidR="003648AE">
        <w:t>Issuer</w:t>
      </w:r>
      <w:r w:rsidRPr="00383C3B">
        <w:t xml:space="preserve">’s capitalization or assets or liabilities on which to make your investment decision. </w:t>
      </w:r>
    </w:p>
    <w:p w14:paraId="3C54DB08" w14:textId="77777777" w:rsidR="00E04C3D" w:rsidRDefault="00E04C3D" w:rsidP="00E04C3D">
      <w:pPr>
        <w:contextualSpacing/>
        <w:textAlignment w:val="top"/>
      </w:pPr>
    </w:p>
    <w:p w14:paraId="6C7A27FE" w14:textId="28E034C3" w:rsidR="00DC0ACF" w:rsidRPr="0063792C" w:rsidRDefault="00DC0ACF" w:rsidP="00E04C3D">
      <w:pPr>
        <w:contextualSpacing/>
        <w:textAlignment w:val="top"/>
        <w:rPr>
          <w:b/>
          <w:bCs/>
          <w:i/>
          <w:iCs/>
          <w:color w:val="000000" w:themeColor="text1"/>
        </w:rPr>
      </w:pPr>
      <w:r w:rsidRPr="0063792C">
        <w:rPr>
          <w:b/>
          <w:bCs/>
          <w:i/>
          <w:iCs/>
          <w:color w:val="000000" w:themeColor="text1"/>
        </w:rPr>
        <w:t>Our business could be negatively impacted by cyber security threats, attacks and other disruptions.</w:t>
      </w:r>
    </w:p>
    <w:p w14:paraId="255D363C" w14:textId="77777777" w:rsidR="00DC0ACF" w:rsidRPr="0063792C" w:rsidRDefault="00DC0ACF" w:rsidP="00DC0ACF">
      <w:pPr>
        <w:contextualSpacing/>
        <w:textAlignment w:val="top"/>
        <w:rPr>
          <w:b/>
          <w:bCs/>
          <w:i/>
          <w:iCs/>
          <w:color w:val="000000" w:themeColor="text1"/>
        </w:rPr>
      </w:pPr>
    </w:p>
    <w:p w14:paraId="03F65220" w14:textId="64176595" w:rsidR="00DC0ACF" w:rsidRDefault="00DC0ACF" w:rsidP="00DC0ACF">
      <w:pPr>
        <w:pBdr>
          <w:top w:val="nil"/>
          <w:left w:val="nil"/>
          <w:bottom w:val="nil"/>
          <w:right w:val="nil"/>
          <w:between w:val="nil"/>
        </w:pBdr>
        <w:contextualSpacing/>
      </w:pPr>
      <w:r>
        <w:rPr>
          <w:color w:val="000000" w:themeColor="text1"/>
        </w:rPr>
        <w:t>W</w:t>
      </w:r>
      <w:r w:rsidRPr="0063792C">
        <w:rPr>
          <w:color w:val="000000" w:themeColor="text1"/>
        </w:rPr>
        <w:t xml:space="preserve">e </w:t>
      </w:r>
      <w:r w:rsidR="0050258C">
        <w:rPr>
          <w:color w:val="000000" w:themeColor="text1"/>
        </w:rPr>
        <w:t>may</w:t>
      </w:r>
      <w:r w:rsidRPr="0063792C">
        <w:rPr>
          <w:color w:val="000000" w:themeColor="text1"/>
        </w:rPr>
        <w:t xml:space="preserve"> face advanced and persistent attacks on our information infrastructure where we manage and store various proprietary information and sensitive/confidential data relating to our operations. These attacks may include sophisticated malware (viruses, worms, and other malicious software programs) and phishing emails that attack our products or otherwise exploit any security vulnerabilities. These intrusions sometimes may be zero-day malware that are difficult to identify because they are not included in the signature set of commercially available antivirus scanning programs. Experienced computer programmers and hackers may be able to penetrate our network security and misappropriate or compromise our confidential information or that of our customers or other third-parties, create system disruptions, or cause shutdowns. Additionally, sophisticated software and applications that we produce or procure from third-parties may contain defects in design or manufacture, including </w:t>
      </w:r>
      <w:r>
        <w:rPr>
          <w:color w:val="000000" w:themeColor="text1"/>
        </w:rPr>
        <w:t>“</w:t>
      </w:r>
      <w:r w:rsidRPr="0063792C">
        <w:rPr>
          <w:color w:val="000000" w:themeColor="text1"/>
        </w:rPr>
        <w:t>bugs</w:t>
      </w:r>
      <w:r>
        <w:rPr>
          <w:color w:val="000000" w:themeColor="text1"/>
        </w:rPr>
        <w:t>”</w:t>
      </w:r>
      <w:r w:rsidRPr="0063792C">
        <w:rPr>
          <w:color w:val="000000" w:themeColor="text1"/>
        </w:rPr>
        <w:t xml:space="preserve"> and other problems that could unexpectedly interfere with the operation of the information infrastructure. A disruption, infiltration or failure of our information infrastructure systems or any of our data centers as a result of software or hardware malfunctions, computer viruses, cyber-attacks, employee theft or misuse, power disruptions, natural disasters or accidents could cause breaches of data security, loss of critical data and performance delays, which in turn could adversely affect our business.</w:t>
      </w:r>
    </w:p>
    <w:p w14:paraId="1BB93D31" w14:textId="77777777" w:rsidR="00DC0ACF" w:rsidRDefault="00DC0ACF" w:rsidP="00DC0ACF">
      <w:pPr>
        <w:pBdr>
          <w:top w:val="nil"/>
          <w:left w:val="nil"/>
          <w:bottom w:val="nil"/>
          <w:right w:val="nil"/>
          <w:between w:val="nil"/>
        </w:pBdr>
        <w:contextualSpacing/>
      </w:pPr>
    </w:p>
    <w:p w14:paraId="37F05018" w14:textId="77777777" w:rsidR="009C1B28" w:rsidRDefault="009C1B28">
      <w:pPr>
        <w:jc w:val="left"/>
        <w:rPr>
          <w:b/>
          <w:bCs/>
          <w:i/>
          <w:iCs/>
        </w:rPr>
      </w:pPr>
      <w:r>
        <w:rPr>
          <w:b/>
          <w:bCs/>
          <w:i/>
          <w:iCs/>
        </w:rPr>
        <w:br w:type="page"/>
      </w:r>
    </w:p>
    <w:p w14:paraId="2C6D30AE" w14:textId="3BF4C32C" w:rsidR="00DC0ACF" w:rsidRPr="00CC3A4E" w:rsidRDefault="00DC0ACF" w:rsidP="00DC0ACF">
      <w:pPr>
        <w:pBdr>
          <w:top w:val="nil"/>
          <w:left w:val="nil"/>
          <w:bottom w:val="nil"/>
          <w:right w:val="nil"/>
          <w:between w:val="nil"/>
        </w:pBdr>
        <w:contextualSpacing/>
        <w:rPr>
          <w:b/>
          <w:bCs/>
          <w:i/>
          <w:iCs/>
        </w:rPr>
      </w:pPr>
      <w:r w:rsidRPr="00CC3A4E">
        <w:rPr>
          <w:b/>
          <w:bCs/>
          <w:i/>
          <w:iCs/>
        </w:rPr>
        <w:lastRenderedPageBreak/>
        <w:t>Security breaches of confidential customer information, in connection with our electronic processing of credit and debit card transactions, or confidential employee information may adversely affect our business.</w:t>
      </w:r>
    </w:p>
    <w:p w14:paraId="73F15FAB" w14:textId="77777777" w:rsidR="00DC0ACF" w:rsidRDefault="00DC0ACF" w:rsidP="00DC0ACF">
      <w:pPr>
        <w:pBdr>
          <w:top w:val="nil"/>
          <w:left w:val="nil"/>
          <w:bottom w:val="nil"/>
          <w:right w:val="nil"/>
          <w:between w:val="nil"/>
        </w:pBdr>
        <w:contextualSpacing/>
      </w:pPr>
    </w:p>
    <w:p w14:paraId="0DF028DF" w14:textId="77777777" w:rsidR="00DC0ACF" w:rsidRDefault="00DC0ACF" w:rsidP="00DC0ACF">
      <w:pPr>
        <w:pBdr>
          <w:top w:val="nil"/>
          <w:left w:val="nil"/>
          <w:bottom w:val="nil"/>
          <w:right w:val="nil"/>
          <w:between w:val="nil"/>
        </w:pBdr>
        <w:contextualSpacing/>
      </w:pPr>
      <w:r>
        <w:t>Our business requires the collection, transmission and retention of personally identifiable information, in various information technology systems that we maintain and in those maintained by third parties with whom we contract to provide services. The integrity and protection of that data is critical to us. The information, security and privacy requirements imposed by governmental regulation are increasingly demanding. Our systems may not be able to satisfy these changing requirements and customer and employee expectations, or may require significant additional investments or time in order to do so. A breach in the security of our information technology systems or those of our service providers could lead to an interruption in the operation of our systems, resulting in operational inefficiencies and a loss of profits. Additionally, a significant theft, loss or misappropriation of, or access to, customers’ or other proprietary data or other breach of our information technology systems could result in fines, legal claims or proceedings.</w:t>
      </w:r>
    </w:p>
    <w:p w14:paraId="515CAF54" w14:textId="77777777" w:rsidR="00DC0ACF" w:rsidRDefault="00DC0ACF" w:rsidP="00DC0ACF">
      <w:pPr>
        <w:pBdr>
          <w:top w:val="nil"/>
          <w:left w:val="nil"/>
          <w:bottom w:val="nil"/>
          <w:right w:val="nil"/>
          <w:between w:val="nil"/>
        </w:pBdr>
        <w:contextualSpacing/>
      </w:pPr>
    </w:p>
    <w:p w14:paraId="6BBF0BD2" w14:textId="7ED3999C" w:rsidR="00DC0ACF" w:rsidRPr="00CC3A4E" w:rsidRDefault="00DC0ACF" w:rsidP="00DC0ACF">
      <w:pPr>
        <w:pBdr>
          <w:top w:val="nil"/>
          <w:left w:val="nil"/>
          <w:bottom w:val="nil"/>
          <w:right w:val="nil"/>
          <w:between w:val="nil"/>
        </w:pBdr>
        <w:contextualSpacing/>
        <w:rPr>
          <w:b/>
          <w:bCs/>
          <w:i/>
          <w:iCs/>
        </w:rPr>
      </w:pPr>
      <w:r w:rsidRPr="00CC3A4E">
        <w:rPr>
          <w:b/>
          <w:bCs/>
          <w:i/>
          <w:iCs/>
        </w:rPr>
        <w:t xml:space="preserve">The use of </w:t>
      </w:r>
      <w:r w:rsidR="00C12960">
        <w:rPr>
          <w:b/>
          <w:bCs/>
          <w:i/>
          <w:iCs/>
        </w:rPr>
        <w:t>i</w:t>
      </w:r>
      <w:r w:rsidRPr="00CC3A4E">
        <w:rPr>
          <w:b/>
          <w:bCs/>
          <w:i/>
          <w:iCs/>
        </w:rPr>
        <w:t>ndividually identifiable data by our business, our business associates and third parties is regulated at the state, federal and international levels.</w:t>
      </w:r>
    </w:p>
    <w:p w14:paraId="1B355D1F" w14:textId="77777777" w:rsidR="00DC0ACF" w:rsidRPr="00CC3A4E" w:rsidRDefault="00DC0ACF" w:rsidP="00DC0ACF">
      <w:pPr>
        <w:pBdr>
          <w:top w:val="nil"/>
          <w:left w:val="nil"/>
          <w:bottom w:val="nil"/>
          <w:right w:val="nil"/>
          <w:between w:val="nil"/>
        </w:pBdr>
        <w:contextualSpacing/>
        <w:rPr>
          <w:b/>
          <w:bCs/>
          <w:i/>
          <w:iCs/>
        </w:rPr>
      </w:pPr>
    </w:p>
    <w:p w14:paraId="69421C0A" w14:textId="77777777" w:rsidR="00DC0ACF" w:rsidRDefault="00DC0ACF" w:rsidP="00DC0ACF">
      <w:pPr>
        <w:pBdr>
          <w:top w:val="nil"/>
          <w:left w:val="nil"/>
          <w:bottom w:val="nil"/>
          <w:right w:val="nil"/>
          <w:between w:val="nil"/>
        </w:pBdr>
        <w:contextualSpacing/>
        <w:rPr>
          <w:highlight w:val="yellow"/>
        </w:rPr>
      </w:pPr>
      <w:r>
        <w:t>The regulation of individual data is changing rapidly, and in unpredictable ways. A change in regulation could adversely affect our business, including causing our business model to no longer be viable. Costs associated with information security – such as investment in technology, the costs of compliance with consumer protection laws and costs resulting from consumer fraud – could cause our business and results of operations to suffer materially. Additionally, the success of our online operations depends upon the secure transmission of confidential information over public networks, including the use of cashless payments. The intentional or negligent actions of employees, business associates or third parties may undermine our security measures. As a result, unauthorized parties may obtain access to our data systems and misappropriate confidential data. There can be no assurance that advances in computer capabilities, new discoveries in the field of cryptography or other developments will prevent the compromise of our customer transaction processing capabilities and personal data. If any such compromise of our security or the security of information residing with our business associates or third parties were to occur, it could have a material adverse effect on our reputation, operating results and financial condition. Any compromise of our data security may materially increase the costs we incur to protect against such breaches and could subject us to additional legal risk.</w:t>
      </w:r>
    </w:p>
    <w:p w14:paraId="283AAB2A" w14:textId="77777777" w:rsidR="00DC0ACF" w:rsidRPr="0063792C" w:rsidRDefault="00DC0ACF" w:rsidP="00DC0ACF">
      <w:pPr>
        <w:pBdr>
          <w:top w:val="nil"/>
          <w:left w:val="nil"/>
          <w:bottom w:val="nil"/>
          <w:right w:val="nil"/>
          <w:between w:val="nil"/>
        </w:pBdr>
        <w:contextualSpacing/>
        <w:rPr>
          <w:highlight w:val="yellow"/>
        </w:rPr>
      </w:pPr>
    </w:p>
    <w:p w14:paraId="6DC52393" w14:textId="40F2E972" w:rsidR="00DC0ACF" w:rsidRPr="00CC3A4E" w:rsidRDefault="00DC0ACF" w:rsidP="00DC0ACF">
      <w:pPr>
        <w:pBdr>
          <w:top w:val="nil"/>
          <w:left w:val="nil"/>
          <w:bottom w:val="nil"/>
          <w:right w:val="nil"/>
          <w:between w:val="nil"/>
        </w:pBdr>
        <w:contextualSpacing/>
        <w:rPr>
          <w:b/>
          <w:bCs/>
          <w:i/>
          <w:iCs/>
        </w:rPr>
      </w:pPr>
      <w:r w:rsidRPr="00CC3A4E">
        <w:rPr>
          <w:b/>
          <w:bCs/>
          <w:i/>
          <w:iCs/>
        </w:rPr>
        <w:t xml:space="preserve">The </w:t>
      </w:r>
      <w:r w:rsidR="003648AE">
        <w:rPr>
          <w:b/>
          <w:bCs/>
          <w:i/>
          <w:iCs/>
        </w:rPr>
        <w:t>Issuer</w:t>
      </w:r>
      <w:r w:rsidRPr="00CC3A4E">
        <w:rPr>
          <w:b/>
          <w:bCs/>
          <w:i/>
          <w:iCs/>
        </w:rPr>
        <w:t xml:space="preserve"> is not subject to Sarbanes-Oxley regulations and may lack the financial controls and procedures of public companies.</w:t>
      </w:r>
    </w:p>
    <w:p w14:paraId="3EF2BCE2" w14:textId="77777777" w:rsidR="00DC0ACF" w:rsidRDefault="00DC0ACF" w:rsidP="00DC0ACF">
      <w:pPr>
        <w:pBdr>
          <w:top w:val="nil"/>
          <w:left w:val="nil"/>
          <w:bottom w:val="nil"/>
          <w:right w:val="nil"/>
          <w:between w:val="nil"/>
        </w:pBdr>
        <w:contextualSpacing/>
      </w:pPr>
    </w:p>
    <w:p w14:paraId="0144F4F6" w14:textId="734E0091" w:rsidR="00DC0ACF" w:rsidRDefault="00DC0ACF" w:rsidP="00DC0ACF">
      <w:pPr>
        <w:pBdr>
          <w:top w:val="nil"/>
          <w:left w:val="nil"/>
          <w:bottom w:val="nil"/>
          <w:right w:val="nil"/>
          <w:between w:val="nil"/>
        </w:pBdr>
        <w:contextualSpacing/>
      </w:pPr>
      <w:r>
        <w:t xml:space="preserve">The </w:t>
      </w:r>
      <w:r w:rsidR="003648AE">
        <w:t>Issuer</w:t>
      </w:r>
      <w:r>
        <w:t xml:space="preserve"> may not have the internal control infrastructure that would meet the standards of a public company, including the requirements of the Sarbanes Oxley Act of 2002. As a privately-held (non-public) </w:t>
      </w:r>
      <w:r w:rsidR="003648AE">
        <w:t>issuer</w:t>
      </w:r>
      <w:r>
        <w:t xml:space="preserve">, the </w:t>
      </w:r>
      <w:r w:rsidR="003648AE">
        <w:t>Issuer</w:t>
      </w:r>
      <w:r>
        <w:t xml:space="preserve"> is currently not subject to the Sarbanes Oxley Act of 2002, and its financial and disclosure controls and procedures reflect its status as a development stage, non-public company. There can be no guarantee that there are no significant deficiencies or material weaknesses in the quality of the </w:t>
      </w:r>
      <w:r w:rsidR="003648AE">
        <w:t>Issuer</w:t>
      </w:r>
      <w:r>
        <w:t xml:space="preserve">’s financial and disclosure controls and procedures. If it were necessary to implement such financial and disclosure controls and procedures, the cost to the </w:t>
      </w:r>
      <w:r w:rsidR="003648AE">
        <w:t>Issuer</w:t>
      </w:r>
      <w:r>
        <w:t xml:space="preserve"> of such compliance could be substantial and could have a material adverse effect on the </w:t>
      </w:r>
      <w:r w:rsidR="003648AE">
        <w:t>Issuer</w:t>
      </w:r>
      <w:r>
        <w:t>’s results of operations.</w:t>
      </w:r>
    </w:p>
    <w:p w14:paraId="4D762016" w14:textId="77777777" w:rsidR="00DC0ACF" w:rsidRDefault="00DC0ACF" w:rsidP="00DC0ACF">
      <w:pPr>
        <w:pBdr>
          <w:top w:val="nil"/>
          <w:left w:val="nil"/>
          <w:bottom w:val="nil"/>
          <w:right w:val="nil"/>
          <w:between w:val="nil"/>
        </w:pBdr>
        <w:contextualSpacing/>
      </w:pPr>
    </w:p>
    <w:p w14:paraId="51CD1FC9" w14:textId="77777777" w:rsidR="00C12960" w:rsidRPr="005F2823" w:rsidRDefault="00C12960" w:rsidP="00C12960">
      <w:pPr>
        <w:shd w:val="clear" w:color="auto" w:fill="FFFFFF"/>
        <w:textAlignment w:val="top"/>
        <w:rPr>
          <w:b/>
          <w:bCs/>
          <w:i/>
          <w:iCs/>
          <w:color w:val="222222"/>
        </w:rPr>
      </w:pPr>
      <w:bookmarkStart w:id="17" w:name="_Hlk72783285"/>
      <w:bookmarkStart w:id="18" w:name="_Hlk72788337"/>
      <w:r w:rsidRPr="005F2823">
        <w:rPr>
          <w:b/>
          <w:bCs/>
          <w:i/>
          <w:iCs/>
          <w:color w:val="222222"/>
        </w:rPr>
        <w:t xml:space="preserve">Changes in </w:t>
      </w:r>
      <w:bookmarkStart w:id="19" w:name="_Hlk87045587"/>
      <w:r>
        <w:rPr>
          <w:b/>
          <w:bCs/>
          <w:i/>
          <w:iCs/>
          <w:color w:val="222222"/>
        </w:rPr>
        <w:t xml:space="preserve">federal, state or local laws and </w:t>
      </w:r>
      <w:bookmarkEnd w:id="19"/>
      <w:r w:rsidRPr="005F2823">
        <w:rPr>
          <w:b/>
          <w:bCs/>
          <w:i/>
          <w:iCs/>
          <w:color w:val="222222"/>
        </w:rPr>
        <w:t>government regulation could adversely impact our business.</w:t>
      </w:r>
    </w:p>
    <w:p w14:paraId="454948D2" w14:textId="77777777" w:rsidR="00C12960" w:rsidRPr="00383C3B" w:rsidRDefault="00C12960" w:rsidP="00C12960">
      <w:pPr>
        <w:shd w:val="clear" w:color="auto" w:fill="FFFFFF"/>
        <w:textAlignment w:val="top"/>
        <w:rPr>
          <w:b/>
          <w:bCs/>
          <w:color w:val="222222"/>
        </w:rPr>
      </w:pPr>
    </w:p>
    <w:p w14:paraId="277B8239" w14:textId="3C5E3ECB" w:rsidR="00C12960" w:rsidRPr="00383C3B" w:rsidRDefault="00C12960" w:rsidP="00C12960">
      <w:pPr>
        <w:shd w:val="clear" w:color="auto" w:fill="FFFFFF"/>
        <w:spacing w:after="120"/>
        <w:textAlignment w:val="top"/>
        <w:rPr>
          <w:color w:val="222222"/>
        </w:rPr>
      </w:pPr>
      <w:r w:rsidRPr="00383C3B">
        <w:rPr>
          <w:color w:val="222222"/>
        </w:rPr>
        <w:t xml:space="preserve">The </w:t>
      </w:r>
      <w:r w:rsidR="003648AE">
        <w:t>Issuer</w:t>
      </w:r>
      <w:r w:rsidRPr="00383C3B">
        <w:rPr>
          <w:color w:val="222222"/>
        </w:rPr>
        <w:t xml:space="preserve"> is subject to legislation and regulation at the federal and local levels and, in some instances, at the state level.</w:t>
      </w:r>
      <w:r w:rsidRPr="00A75538">
        <w:rPr>
          <w:color w:val="222222"/>
        </w:rPr>
        <w:t xml:space="preserve"> </w:t>
      </w:r>
      <w:bookmarkStart w:id="20" w:name="_Hlk87045526"/>
      <w:r>
        <w:t xml:space="preserve">New laws and regulations may impose new and significant disclosure obligations and other operational, marketing and compliance-related obligations and requirements, which may lead to additional costs, risks of non-compliance, and diversion of our management's time and attention from strategic initiatives. Additionally, </w:t>
      </w:r>
      <w:bookmarkEnd w:id="20"/>
      <w:r>
        <w:t>f</w:t>
      </w:r>
      <w:r>
        <w:rPr>
          <w:color w:val="222222"/>
        </w:rPr>
        <w:t>ederal, state and local legislators or regulators</w:t>
      </w:r>
      <w:r w:rsidRPr="008C088F">
        <w:rPr>
          <w:color w:val="222222"/>
        </w:rPr>
        <w:t xml:space="preserve"> may change </w:t>
      </w:r>
      <w:r>
        <w:rPr>
          <w:color w:val="222222"/>
        </w:rPr>
        <w:t>current laws or regulations which could adversely impact our business</w:t>
      </w:r>
      <w:r w:rsidRPr="008C088F">
        <w:rPr>
          <w:color w:val="222222"/>
        </w:rPr>
        <w:t xml:space="preserve">. </w:t>
      </w:r>
      <w:r>
        <w:rPr>
          <w:color w:val="222222"/>
        </w:rPr>
        <w:t xml:space="preserve">Further, </w:t>
      </w:r>
      <w:r w:rsidRPr="008C088F">
        <w:rPr>
          <w:color w:val="222222"/>
        </w:rPr>
        <w:t xml:space="preserve">court actions </w:t>
      </w:r>
      <w:r>
        <w:rPr>
          <w:color w:val="222222"/>
        </w:rPr>
        <w:t xml:space="preserve">or </w:t>
      </w:r>
      <w:r w:rsidRPr="008C088F">
        <w:rPr>
          <w:color w:val="222222"/>
        </w:rPr>
        <w:t>regulatory proceedings</w:t>
      </w:r>
      <w:r w:rsidRPr="00383C3B">
        <w:rPr>
          <w:color w:val="222222"/>
        </w:rPr>
        <w:t xml:space="preserve"> </w:t>
      </w:r>
      <w:r>
        <w:rPr>
          <w:color w:val="222222"/>
        </w:rPr>
        <w:t xml:space="preserve">could also change </w:t>
      </w:r>
      <w:r w:rsidRPr="00383C3B">
        <w:rPr>
          <w:color w:val="222222"/>
        </w:rPr>
        <w:t>our rights and obligations under applicable federal, state and local laws, which cannot be predicted. Modifications to existing requirements or imposition of new requirements or limitations could have an adverse impact on our business.</w:t>
      </w:r>
      <w:bookmarkEnd w:id="17"/>
    </w:p>
    <w:bookmarkEnd w:id="18"/>
    <w:p w14:paraId="483F87B1" w14:textId="77777777" w:rsidR="00C12960" w:rsidRPr="00CC3A4E" w:rsidRDefault="00C12960" w:rsidP="00C12960">
      <w:pPr>
        <w:pBdr>
          <w:top w:val="nil"/>
          <w:left w:val="nil"/>
          <w:bottom w:val="nil"/>
          <w:right w:val="nil"/>
          <w:between w:val="nil"/>
        </w:pBdr>
        <w:contextualSpacing/>
        <w:rPr>
          <w:b/>
          <w:bCs/>
          <w:i/>
          <w:iCs/>
        </w:rPr>
      </w:pPr>
      <w:r w:rsidRPr="00CC3A4E">
        <w:rPr>
          <w:b/>
          <w:bCs/>
          <w:i/>
          <w:iCs/>
        </w:rPr>
        <w:t>We operate in a highly regulated environment, and if we are found to be in violation of any of the federal, state, or local laws or regulations applicable to us, our business could suffer.</w:t>
      </w:r>
    </w:p>
    <w:p w14:paraId="484579FA" w14:textId="77777777" w:rsidR="00C12960" w:rsidRPr="00CC3A4E" w:rsidRDefault="00C12960" w:rsidP="00C12960">
      <w:pPr>
        <w:pBdr>
          <w:top w:val="nil"/>
          <w:left w:val="nil"/>
          <w:bottom w:val="nil"/>
          <w:right w:val="nil"/>
          <w:between w:val="nil"/>
        </w:pBdr>
        <w:contextualSpacing/>
        <w:rPr>
          <w:b/>
          <w:bCs/>
          <w:i/>
          <w:iCs/>
        </w:rPr>
      </w:pPr>
    </w:p>
    <w:p w14:paraId="2C653C25" w14:textId="77777777" w:rsidR="00C12960" w:rsidRPr="00CC3A4E" w:rsidRDefault="00C12960" w:rsidP="00C12960">
      <w:pPr>
        <w:pBdr>
          <w:top w:val="nil"/>
          <w:left w:val="nil"/>
          <w:bottom w:val="nil"/>
          <w:right w:val="nil"/>
          <w:between w:val="nil"/>
        </w:pBdr>
        <w:contextualSpacing/>
      </w:pPr>
      <w:r>
        <w:t>We are also subject to a wide range of federal, state, and local laws and regulations. The violation of these or future requirements or laws and regulations could result in administrative, civil, or criminal sanctions against us, which may include fines, a cease and desist order against the subject operations or even revocation or suspension of our license to operate the subject business. As a result, we may incur capital and operating expenditures and other costs to comply with these requirements and laws and regulations.</w:t>
      </w:r>
      <w:r w:rsidRPr="00AC05CD" w:rsidDel="00B02AEE">
        <w:t xml:space="preserve"> </w:t>
      </w:r>
    </w:p>
    <w:p w14:paraId="42C1267E" w14:textId="77777777" w:rsidR="00C12960" w:rsidRPr="0063792C" w:rsidRDefault="00C12960" w:rsidP="00C12960">
      <w:pPr>
        <w:pBdr>
          <w:top w:val="nil"/>
          <w:left w:val="nil"/>
          <w:bottom w:val="nil"/>
          <w:right w:val="nil"/>
          <w:between w:val="nil"/>
        </w:pBdr>
        <w:contextualSpacing/>
        <w:rPr>
          <w:highlight w:val="yellow"/>
        </w:rPr>
      </w:pPr>
    </w:p>
    <w:p w14:paraId="06EE7B74" w14:textId="0CD633FF" w:rsidR="00C12960" w:rsidRPr="00383C3B" w:rsidRDefault="00C12960" w:rsidP="00C12960">
      <w:pPr>
        <w:pBdr>
          <w:top w:val="nil"/>
          <w:left w:val="nil"/>
          <w:bottom w:val="nil"/>
          <w:right w:val="nil"/>
          <w:between w:val="nil"/>
        </w:pBdr>
        <w:contextualSpacing/>
        <w:rPr>
          <w:b/>
          <w:bCs/>
        </w:rPr>
      </w:pPr>
      <w:r w:rsidRPr="00383C3B">
        <w:rPr>
          <w:b/>
          <w:bCs/>
          <w:i/>
          <w:iCs/>
        </w:rPr>
        <w:t>Changes in employment laws or regulation could harm our performance.</w:t>
      </w:r>
      <w:r w:rsidRPr="00383C3B">
        <w:rPr>
          <w:b/>
          <w:bCs/>
        </w:rPr>
        <w:t xml:space="preserve"> </w:t>
      </w:r>
    </w:p>
    <w:p w14:paraId="0602D627" w14:textId="77777777" w:rsidR="00C12960" w:rsidRDefault="00C12960" w:rsidP="00C12960">
      <w:pPr>
        <w:pBdr>
          <w:top w:val="nil"/>
          <w:left w:val="nil"/>
          <w:bottom w:val="nil"/>
          <w:right w:val="nil"/>
          <w:between w:val="nil"/>
        </w:pBdr>
        <w:contextualSpacing/>
      </w:pPr>
    </w:p>
    <w:p w14:paraId="35DE54CF" w14:textId="10956CC5" w:rsidR="00C12960" w:rsidRPr="00383C3B" w:rsidRDefault="00C12960" w:rsidP="00C12960">
      <w:pPr>
        <w:pBdr>
          <w:top w:val="nil"/>
          <w:left w:val="nil"/>
          <w:bottom w:val="nil"/>
          <w:right w:val="nil"/>
          <w:between w:val="nil"/>
        </w:pBdr>
        <w:contextualSpacing/>
      </w:pPr>
      <w:r w:rsidRPr="00383C3B">
        <w:t xml:space="preserve">Various federal and state labor laws govern our relationship with our employees and affect operating costs. These laws include minimum wage requirements, overtime pay, healthcare reform and the implementation of the Patient Protection and Affordable Care Act, unemployment tax rates, workers’ compensation rates, citizenship requirements, union membership and sales taxes. A number of factors could adversely affect our operating results, including additional government- imposed increases in minimum wages, overtime pay, paid leaves of absence and mandated health benefits, mandated training for employees, increased tax reporting and tax payment requirements for employees who receive tips, a reduction in the number of states that allow tips to be credited toward minimum wage requirements, changing regulations from the National Labor Relations Board and increased employee litigation including claims relating to the Fair Labor Standards Act. </w:t>
      </w:r>
    </w:p>
    <w:p w14:paraId="2D685D58" w14:textId="77777777" w:rsidR="00C12960" w:rsidRDefault="00C12960" w:rsidP="00C12960">
      <w:pPr>
        <w:pBdr>
          <w:top w:val="nil"/>
          <w:left w:val="nil"/>
          <w:bottom w:val="nil"/>
          <w:right w:val="nil"/>
          <w:between w:val="nil"/>
        </w:pBdr>
        <w:contextualSpacing/>
      </w:pPr>
    </w:p>
    <w:p w14:paraId="686D5334" w14:textId="77777777" w:rsidR="009C1B28" w:rsidRPr="00232E93" w:rsidRDefault="009C1B28" w:rsidP="009C1B28">
      <w:pPr>
        <w:pBdr>
          <w:top w:val="nil"/>
          <w:left w:val="nil"/>
          <w:bottom w:val="nil"/>
          <w:right w:val="nil"/>
          <w:between w:val="nil"/>
        </w:pBdr>
        <w:contextualSpacing/>
        <w:rPr>
          <w:b/>
          <w:bCs/>
          <w:i/>
          <w:iCs/>
        </w:rPr>
      </w:pPr>
      <w:r w:rsidRPr="00232E93">
        <w:rPr>
          <w:b/>
          <w:bCs/>
          <w:i/>
          <w:iCs/>
        </w:rPr>
        <w:t>Global crises</w:t>
      </w:r>
      <w:r>
        <w:rPr>
          <w:b/>
          <w:bCs/>
          <w:i/>
          <w:iCs/>
        </w:rPr>
        <w:t xml:space="preserve"> and geopolitical events, including without limitation,</w:t>
      </w:r>
      <w:r w:rsidRPr="00232E93">
        <w:rPr>
          <w:b/>
          <w:bCs/>
          <w:i/>
          <w:iCs/>
        </w:rPr>
        <w:t xml:space="preserve"> COVID-19 can have a significant effect on our business operations and revenue projections.</w:t>
      </w:r>
    </w:p>
    <w:p w14:paraId="451DDED6" w14:textId="77777777" w:rsidR="009C1B28" w:rsidRDefault="009C1B28" w:rsidP="009C1B28">
      <w:pPr>
        <w:pBdr>
          <w:top w:val="nil"/>
          <w:left w:val="nil"/>
          <w:bottom w:val="nil"/>
          <w:right w:val="nil"/>
          <w:between w:val="nil"/>
        </w:pBdr>
        <w:contextualSpacing/>
      </w:pPr>
    </w:p>
    <w:p w14:paraId="0335E2AD" w14:textId="25FA95A1" w:rsidR="009C1B28" w:rsidRPr="00383C3B" w:rsidRDefault="009C1B28" w:rsidP="009C1B28">
      <w:pPr>
        <w:pBdr>
          <w:top w:val="nil"/>
          <w:left w:val="nil"/>
          <w:bottom w:val="nil"/>
          <w:right w:val="nil"/>
          <w:between w:val="nil"/>
        </w:pBdr>
        <w:contextualSpacing/>
      </w:pPr>
      <w:r w:rsidRPr="00DF738C">
        <w:t>A significant outbreak of contagious diseases, such as COVID-19,</w:t>
      </w:r>
      <w:r>
        <w:t xml:space="preserve"> in the human population could result in a widespread health crisis.</w:t>
      </w:r>
      <w:r w:rsidRPr="00B94F1F">
        <w:t xml:space="preserve"> </w:t>
      </w:r>
      <w:r>
        <w:t>Additionally, geopolitical events, such as wars or conflicts, could result in global disruptions to supplies, political uncertainty and displacement. Each of these crises could adversely affect the economies and financial markets of many countries, including the United States where we principally operate, resulting in an economic downturn that could reduce the demand for our products and services and impair our business prospects, including as a result of being unable to raise additional capital on acceptable terms, if at all.</w:t>
      </w:r>
    </w:p>
    <w:p w14:paraId="3DF30F61" w14:textId="77777777" w:rsidR="002C173C" w:rsidRDefault="002C173C" w:rsidP="001A4D26">
      <w:pPr>
        <w:pBdr>
          <w:top w:val="nil"/>
          <w:left w:val="nil"/>
          <w:bottom w:val="nil"/>
          <w:right w:val="nil"/>
          <w:between w:val="nil"/>
        </w:pBdr>
        <w:contextualSpacing/>
        <w:rPr>
          <w:b/>
          <w:bCs/>
          <w:i/>
          <w:iCs/>
        </w:rPr>
      </w:pPr>
      <w:bookmarkStart w:id="21" w:name="_Hlk119578095"/>
    </w:p>
    <w:p w14:paraId="0170D192" w14:textId="30A1E451" w:rsidR="001A4D26" w:rsidRPr="00B55CDE" w:rsidRDefault="001A4D26" w:rsidP="001A4D26">
      <w:pPr>
        <w:pBdr>
          <w:top w:val="nil"/>
          <w:left w:val="nil"/>
          <w:bottom w:val="nil"/>
          <w:right w:val="nil"/>
          <w:between w:val="nil"/>
        </w:pBdr>
        <w:contextualSpacing/>
        <w:rPr>
          <w:b/>
          <w:bCs/>
          <w:i/>
          <w:iCs/>
        </w:rPr>
      </w:pPr>
      <w:r w:rsidRPr="00B55CDE">
        <w:rPr>
          <w:b/>
          <w:bCs/>
          <w:i/>
          <w:iCs/>
        </w:rPr>
        <w:t xml:space="preserve">The </w:t>
      </w:r>
      <w:r w:rsidR="003648AE">
        <w:rPr>
          <w:b/>
          <w:bCs/>
          <w:i/>
          <w:iCs/>
        </w:rPr>
        <w:t>Issuer</w:t>
      </w:r>
      <w:r w:rsidRPr="00B55CDE">
        <w:rPr>
          <w:b/>
          <w:bCs/>
          <w:i/>
          <w:iCs/>
        </w:rPr>
        <w:t xml:space="preserve"> may not be in compliance with the corporate registration requirements where it operates.    </w:t>
      </w:r>
    </w:p>
    <w:p w14:paraId="60247C91" w14:textId="77777777" w:rsidR="001A4D26" w:rsidRPr="00B55CDE" w:rsidRDefault="001A4D26" w:rsidP="001A4D26">
      <w:pPr>
        <w:pStyle w:val="Heading2"/>
        <w:rPr>
          <w:b w:val="0"/>
          <w:bCs/>
        </w:rPr>
      </w:pPr>
    </w:p>
    <w:p w14:paraId="2E9A4E40" w14:textId="166B433D" w:rsidR="002C173C" w:rsidRPr="00383C3B" w:rsidRDefault="001A4D26" w:rsidP="002C173C">
      <w:pPr>
        <w:pBdr>
          <w:top w:val="nil"/>
          <w:left w:val="nil"/>
          <w:bottom w:val="nil"/>
          <w:right w:val="nil"/>
          <w:between w:val="nil"/>
        </w:pBdr>
        <w:contextualSpacing/>
      </w:pPr>
      <w:r w:rsidRPr="00B55CDE">
        <w:t xml:space="preserve">The </w:t>
      </w:r>
      <w:r w:rsidR="003648AE">
        <w:t>Issuer</w:t>
      </w:r>
      <w:r w:rsidRPr="00B55CDE">
        <w:t xml:space="preserve">’s headquarters are located in the State of </w:t>
      </w:r>
      <w:r w:rsidR="0029799F">
        <w:t>California</w:t>
      </w:r>
      <w:r w:rsidRPr="00B55CDE">
        <w:t xml:space="preserve">. </w:t>
      </w:r>
      <w:r w:rsidR="002C173C" w:rsidRPr="00110EB7">
        <w:t>The Issuer is not currently qualified to conduct business in California</w:t>
      </w:r>
      <w:r w:rsidR="002C173C">
        <w:t xml:space="preserve"> and the Issuer does not believe that it is required to be qualified</w:t>
      </w:r>
      <w:r w:rsidR="002C173C" w:rsidRPr="00110EB7">
        <w:t xml:space="preserve">. </w:t>
      </w:r>
      <w:r w:rsidR="002C173C">
        <w:t xml:space="preserve">In the event the Issuer is required to be qualified in California, it </w:t>
      </w:r>
      <w:r w:rsidR="002C173C" w:rsidRPr="00110EB7">
        <w:t>could be subject to fines, penalties or other administrative actions for failure to qualify.</w:t>
      </w:r>
    </w:p>
    <w:p w14:paraId="72CBBF29" w14:textId="70B8AAB0" w:rsidR="001A4D26" w:rsidRPr="00B55CDE" w:rsidRDefault="001A4D26" w:rsidP="001A4D26"/>
    <w:bookmarkEnd w:id="21"/>
    <w:p w14:paraId="123753CB" w14:textId="77777777" w:rsidR="00C12960" w:rsidRPr="0063792C" w:rsidRDefault="00C12960" w:rsidP="00DC0ACF">
      <w:pPr>
        <w:pBdr>
          <w:top w:val="nil"/>
          <w:left w:val="nil"/>
          <w:bottom w:val="nil"/>
          <w:right w:val="nil"/>
          <w:between w:val="nil"/>
        </w:pBdr>
        <w:contextualSpacing/>
        <w:rPr>
          <w:highlight w:val="yellow"/>
        </w:rPr>
      </w:pPr>
    </w:p>
    <w:p w14:paraId="475F0AEA" w14:textId="1F768057" w:rsidR="00DC0ACF" w:rsidRPr="0063792C" w:rsidRDefault="00DC0ACF" w:rsidP="00DC0ACF">
      <w:pPr>
        <w:pStyle w:val="Heading2"/>
      </w:pPr>
      <w:bookmarkStart w:id="22" w:name="_Toc103593644"/>
      <w:r w:rsidRPr="0063792C">
        <w:t>Risks Related to the Offering</w:t>
      </w:r>
      <w:bookmarkEnd w:id="22"/>
    </w:p>
    <w:p w14:paraId="24327E2A" w14:textId="77777777" w:rsidR="00DC0ACF" w:rsidRDefault="00DC0ACF" w:rsidP="00DC0ACF">
      <w:pPr>
        <w:pBdr>
          <w:top w:val="nil"/>
          <w:left w:val="nil"/>
          <w:bottom w:val="nil"/>
          <w:right w:val="nil"/>
          <w:between w:val="nil"/>
        </w:pBdr>
        <w:contextualSpacing/>
      </w:pPr>
    </w:p>
    <w:p w14:paraId="401ECBDA" w14:textId="47A6FCAA" w:rsidR="00DC0ACF" w:rsidRPr="00C12960" w:rsidRDefault="00DC0ACF" w:rsidP="00DC0ACF">
      <w:pPr>
        <w:pBdr>
          <w:top w:val="nil"/>
          <w:left w:val="nil"/>
          <w:bottom w:val="nil"/>
          <w:right w:val="nil"/>
          <w:between w:val="nil"/>
        </w:pBdr>
        <w:contextualSpacing/>
        <w:rPr>
          <w:b/>
          <w:bCs/>
          <w:i/>
          <w:iCs/>
        </w:rPr>
      </w:pPr>
      <w:r w:rsidRPr="00C12960">
        <w:rPr>
          <w:b/>
          <w:bCs/>
          <w:i/>
          <w:iCs/>
        </w:rPr>
        <w:t xml:space="preserve">State and federal securities laws are complex, and the </w:t>
      </w:r>
      <w:r w:rsidR="003648AE">
        <w:rPr>
          <w:b/>
          <w:bCs/>
          <w:i/>
          <w:iCs/>
        </w:rPr>
        <w:t>Issuer</w:t>
      </w:r>
      <w:r w:rsidRPr="00C12960">
        <w:rPr>
          <w:b/>
          <w:bCs/>
          <w:i/>
          <w:iCs/>
        </w:rPr>
        <w:t xml:space="preserve"> could potentially be found to have not complied with all relevant state and federal securities law in prior offerings of securities. </w:t>
      </w:r>
    </w:p>
    <w:p w14:paraId="787F45AE" w14:textId="77777777" w:rsidR="00DC0ACF" w:rsidRPr="00C12960" w:rsidRDefault="00DC0ACF" w:rsidP="00DC0ACF">
      <w:pPr>
        <w:pBdr>
          <w:top w:val="nil"/>
          <w:left w:val="nil"/>
          <w:bottom w:val="nil"/>
          <w:right w:val="nil"/>
          <w:between w:val="nil"/>
        </w:pBdr>
        <w:contextualSpacing/>
        <w:rPr>
          <w:b/>
          <w:bCs/>
          <w:i/>
          <w:iCs/>
        </w:rPr>
      </w:pPr>
    </w:p>
    <w:p w14:paraId="45A11C19" w14:textId="74D5D169" w:rsidR="00DC0ACF" w:rsidRPr="00C12960" w:rsidRDefault="00DC0ACF" w:rsidP="00DC0ACF">
      <w:pPr>
        <w:pBdr>
          <w:top w:val="nil"/>
          <w:left w:val="nil"/>
          <w:bottom w:val="nil"/>
          <w:right w:val="nil"/>
          <w:between w:val="nil"/>
        </w:pBdr>
        <w:contextualSpacing/>
      </w:pPr>
      <w:r w:rsidRPr="00C12960">
        <w:t xml:space="preserve">The </w:t>
      </w:r>
      <w:r w:rsidR="003648AE">
        <w:t>Issuer</w:t>
      </w:r>
      <w:r w:rsidRPr="00C12960">
        <w:t xml:space="preserve"> has conducted previous offerings of securities and may not have complied with all relevant state and federal securities laws. If a court or regulatory body with the required jurisdiction ever concluded that the </w:t>
      </w:r>
      <w:r w:rsidR="003648AE">
        <w:t>Issuer</w:t>
      </w:r>
      <w:r w:rsidRPr="00C12960">
        <w:t xml:space="preserve"> may have violated state or federal securities laws, any such violation could result in the </w:t>
      </w:r>
      <w:r w:rsidR="003648AE">
        <w:t>Issuer</w:t>
      </w:r>
      <w:r w:rsidRPr="00C12960">
        <w:t xml:space="preserve"> being required to offer rescission rights to investors in such offering. If such investors exercised their rescission rights, the </w:t>
      </w:r>
      <w:r w:rsidR="00B22284">
        <w:t>Issuer</w:t>
      </w:r>
      <w:r w:rsidRPr="00C12960">
        <w:t xml:space="preserve"> would have to pay to such investors an amount of funds equal to the purchase price paid by such investors plus interest from the date of any such purchase. No assurances can be given the </w:t>
      </w:r>
      <w:r w:rsidR="003648AE">
        <w:t>Issuer</w:t>
      </w:r>
      <w:r w:rsidRPr="00C12960">
        <w:t xml:space="preserve"> will, if it is required to offer such investors a rescission right, have sufficient funds to pay the prior investors the amounts required or that proceeds from this Offering would not be used to pay such amounts. </w:t>
      </w:r>
    </w:p>
    <w:p w14:paraId="50BFB689" w14:textId="77777777" w:rsidR="00DC0ACF" w:rsidRPr="00C12960" w:rsidRDefault="00DC0ACF" w:rsidP="00DC0ACF">
      <w:pPr>
        <w:pBdr>
          <w:top w:val="nil"/>
          <w:left w:val="nil"/>
          <w:bottom w:val="nil"/>
          <w:right w:val="nil"/>
          <w:between w:val="nil"/>
        </w:pBdr>
        <w:contextualSpacing/>
      </w:pPr>
    </w:p>
    <w:p w14:paraId="65CA7C3C" w14:textId="616C3782" w:rsidR="00DC0ACF" w:rsidRDefault="00DC0ACF" w:rsidP="00DC0ACF">
      <w:pPr>
        <w:pBdr>
          <w:top w:val="nil"/>
          <w:left w:val="nil"/>
          <w:bottom w:val="nil"/>
          <w:right w:val="nil"/>
          <w:between w:val="nil"/>
        </w:pBdr>
        <w:contextualSpacing/>
      </w:pPr>
      <w:r w:rsidRPr="00C12960">
        <w:t xml:space="preserve">In addition, if the </w:t>
      </w:r>
      <w:r w:rsidR="003648AE">
        <w:t>Issuer</w:t>
      </w:r>
      <w:r w:rsidRPr="00C12960">
        <w:t xml:space="preserve"> violated federal or state securities laws in connection with a prior offering and/or sale of its securities, federal or state regulators could bring an enforcement, regulatory and/or other legal action against the </w:t>
      </w:r>
      <w:r w:rsidR="003648AE">
        <w:t>Issuer</w:t>
      </w:r>
      <w:r w:rsidRPr="00C12960">
        <w:t xml:space="preserve"> which, among other things, could result in the </w:t>
      </w:r>
      <w:r w:rsidR="003648AE">
        <w:t>Issuer</w:t>
      </w:r>
      <w:r w:rsidRPr="00C12960">
        <w:t xml:space="preserve"> having to pay substantial fines and be prohibited from selling securities in the future.</w:t>
      </w:r>
    </w:p>
    <w:p w14:paraId="240CFB2A" w14:textId="77777777" w:rsidR="00DC0ACF" w:rsidRDefault="00DC0ACF" w:rsidP="00DC0ACF">
      <w:pPr>
        <w:pBdr>
          <w:top w:val="nil"/>
          <w:left w:val="nil"/>
          <w:bottom w:val="nil"/>
          <w:right w:val="nil"/>
          <w:between w:val="nil"/>
        </w:pBdr>
        <w:contextualSpacing/>
      </w:pPr>
    </w:p>
    <w:p w14:paraId="1DB43759" w14:textId="77777777" w:rsidR="00DC0ACF" w:rsidRPr="0063792C" w:rsidRDefault="00DC0ACF" w:rsidP="00DC0ACF">
      <w:pPr>
        <w:pBdr>
          <w:top w:val="nil"/>
          <w:left w:val="nil"/>
          <w:bottom w:val="nil"/>
          <w:right w:val="nil"/>
          <w:between w:val="nil"/>
        </w:pBdr>
        <w:contextualSpacing/>
        <w:rPr>
          <w:b/>
          <w:bCs/>
          <w:i/>
          <w:iCs/>
        </w:rPr>
      </w:pPr>
      <w:r w:rsidRPr="0063792C">
        <w:rPr>
          <w:b/>
          <w:bCs/>
          <w:i/>
          <w:iCs/>
        </w:rPr>
        <w:t xml:space="preserve">The U.S. Securities and Exchange Commission does not pass upon the merits of </w:t>
      </w:r>
      <w:r>
        <w:rPr>
          <w:b/>
          <w:bCs/>
          <w:i/>
          <w:iCs/>
        </w:rPr>
        <w:t>the</w:t>
      </w:r>
      <w:r w:rsidRPr="0063792C">
        <w:rPr>
          <w:b/>
          <w:bCs/>
          <w:i/>
          <w:iCs/>
        </w:rPr>
        <w:t xml:space="preserve"> </w:t>
      </w:r>
      <w:r>
        <w:rPr>
          <w:b/>
          <w:bCs/>
          <w:i/>
          <w:iCs/>
        </w:rPr>
        <w:t>S</w:t>
      </w:r>
      <w:r w:rsidRPr="0063792C">
        <w:rPr>
          <w:b/>
          <w:bCs/>
          <w:i/>
          <w:iCs/>
        </w:rPr>
        <w:t>ecurities or the terms of the Offering, nor does it pass upon the accuracy or completeness of any Offering document or literature.</w:t>
      </w:r>
    </w:p>
    <w:p w14:paraId="25BC1764" w14:textId="77777777" w:rsidR="00DC0ACF" w:rsidRPr="0063792C" w:rsidRDefault="00DC0ACF" w:rsidP="00DC0ACF">
      <w:pPr>
        <w:pBdr>
          <w:top w:val="nil"/>
          <w:left w:val="nil"/>
          <w:bottom w:val="nil"/>
          <w:right w:val="nil"/>
          <w:between w:val="nil"/>
        </w:pBdr>
        <w:contextualSpacing/>
        <w:rPr>
          <w:b/>
          <w:bCs/>
          <w:i/>
          <w:iCs/>
        </w:rPr>
      </w:pPr>
    </w:p>
    <w:p w14:paraId="3BDA2ACC" w14:textId="77777777" w:rsidR="00DC0ACF" w:rsidRPr="0063792C" w:rsidRDefault="00DC0ACF" w:rsidP="00DC0ACF">
      <w:pPr>
        <w:pBdr>
          <w:top w:val="nil"/>
          <w:left w:val="nil"/>
          <w:bottom w:val="nil"/>
          <w:right w:val="nil"/>
          <w:between w:val="nil"/>
        </w:pBdr>
        <w:contextualSpacing/>
      </w:pPr>
      <w:r w:rsidRPr="0063792C">
        <w:t>You should not rely on the fact that our Form C is accessible through the U.S. Securities and Exchange Commission’s EDGAR filing system as an approval, endorsement or guarantee of compliance as it relates to this Offering.</w:t>
      </w:r>
      <w:r>
        <w:t xml:space="preserve"> The U.S. Securities and Exchange Commission has not reviewed this Form C, nor any document or literature related to this Offering.</w:t>
      </w:r>
    </w:p>
    <w:p w14:paraId="3BA8BB49" w14:textId="77777777" w:rsidR="00DC0ACF" w:rsidRPr="0063792C" w:rsidRDefault="00DC0ACF" w:rsidP="00DC0ACF">
      <w:pPr>
        <w:pBdr>
          <w:top w:val="nil"/>
          <w:left w:val="nil"/>
          <w:bottom w:val="nil"/>
          <w:right w:val="nil"/>
          <w:between w:val="nil"/>
        </w:pBdr>
        <w:contextualSpacing/>
        <w:rPr>
          <w:b/>
          <w:bCs/>
          <w:i/>
          <w:iCs/>
        </w:rPr>
      </w:pPr>
    </w:p>
    <w:p w14:paraId="769ED80B" w14:textId="77777777" w:rsidR="002C173C" w:rsidRDefault="002C173C">
      <w:pPr>
        <w:jc w:val="left"/>
        <w:rPr>
          <w:b/>
          <w:bCs/>
          <w:i/>
          <w:iCs/>
        </w:rPr>
      </w:pPr>
      <w:r>
        <w:rPr>
          <w:b/>
          <w:bCs/>
          <w:i/>
          <w:iCs/>
        </w:rPr>
        <w:br w:type="page"/>
      </w:r>
    </w:p>
    <w:p w14:paraId="5325BDEE" w14:textId="2BFF2799" w:rsidR="00DC0ACF" w:rsidRPr="0063792C" w:rsidRDefault="00DC0ACF" w:rsidP="00DC0ACF">
      <w:pPr>
        <w:pBdr>
          <w:top w:val="nil"/>
          <w:left w:val="nil"/>
          <w:bottom w:val="nil"/>
          <w:right w:val="nil"/>
          <w:between w:val="nil"/>
        </w:pBdr>
        <w:contextualSpacing/>
        <w:rPr>
          <w:b/>
          <w:bCs/>
          <w:i/>
          <w:iCs/>
        </w:rPr>
      </w:pPr>
      <w:r w:rsidRPr="0063792C">
        <w:rPr>
          <w:b/>
          <w:bCs/>
          <w:i/>
          <w:iCs/>
        </w:rPr>
        <w:lastRenderedPageBreak/>
        <w:t>Neither the Offering nor the Securities have been registered under federal or state securities laws.</w:t>
      </w:r>
    </w:p>
    <w:p w14:paraId="69F42834" w14:textId="77777777" w:rsidR="00DC0ACF" w:rsidRPr="0063792C" w:rsidRDefault="00DC0ACF" w:rsidP="00DC0ACF">
      <w:pPr>
        <w:pBdr>
          <w:top w:val="nil"/>
          <w:left w:val="nil"/>
          <w:bottom w:val="nil"/>
          <w:right w:val="nil"/>
          <w:between w:val="nil"/>
        </w:pBdr>
        <w:contextualSpacing/>
      </w:pPr>
    </w:p>
    <w:p w14:paraId="56B73D70" w14:textId="77777777" w:rsidR="00DC0ACF" w:rsidRPr="0063792C" w:rsidRDefault="00DC0ACF" w:rsidP="00DC0ACF">
      <w:pPr>
        <w:pBdr>
          <w:top w:val="nil"/>
          <w:left w:val="nil"/>
          <w:bottom w:val="nil"/>
          <w:right w:val="nil"/>
          <w:between w:val="nil"/>
        </w:pBdr>
        <w:contextualSpacing/>
      </w:pPr>
      <w:r w:rsidRPr="0063792C">
        <w:t>No governmental agency has reviewed or passed upon this Offering</w:t>
      </w:r>
      <w:r>
        <w:t xml:space="preserve"> or</w:t>
      </w:r>
      <w:r w:rsidRPr="0063792C">
        <w:t xml:space="preserve"> </w:t>
      </w:r>
      <w:r>
        <w:t>the</w:t>
      </w:r>
      <w:r w:rsidRPr="0063792C">
        <w:t xml:space="preserve"> Securities. </w:t>
      </w:r>
      <w:r w:rsidRPr="0076375D">
        <w:t>Neither the Offering nor the Securities have been registered under federal or state securities laws</w:t>
      </w:r>
      <w:r>
        <w:t>.</w:t>
      </w:r>
      <w:r w:rsidRPr="0076375D" w:rsidDel="0076375D">
        <w:t xml:space="preserve"> </w:t>
      </w:r>
      <w:r w:rsidRPr="0063792C">
        <w:t xml:space="preserve">Investors will not receive any of the benefits </w:t>
      </w:r>
      <w:r>
        <w:t xml:space="preserve">available in </w:t>
      </w:r>
      <w:r w:rsidRPr="0063792C">
        <w:t>regist</w:t>
      </w:r>
      <w:r>
        <w:t xml:space="preserve">ered offerings, which may include access to </w:t>
      </w:r>
      <w:r w:rsidRPr="00DB22CA">
        <w:t>quarterly and annual financial statements that have been audited by an independent accounting firm</w:t>
      </w:r>
      <w:r>
        <w:t>.</w:t>
      </w:r>
      <w:r w:rsidRPr="0063792C">
        <w:t xml:space="preserve"> Investors must therefore assess the adequacy of disclosure and the fairness of the terms of this Offering </w:t>
      </w:r>
      <w:r>
        <w:t>based on the information provided in this Form C and the accompanying exhibits</w:t>
      </w:r>
      <w:r w:rsidRPr="0063792C">
        <w:t>.</w:t>
      </w:r>
    </w:p>
    <w:p w14:paraId="4EBCD6C4" w14:textId="77777777" w:rsidR="00DC0ACF" w:rsidRPr="0063792C" w:rsidRDefault="00DC0ACF" w:rsidP="00DC0ACF">
      <w:pPr>
        <w:pBdr>
          <w:top w:val="nil"/>
          <w:left w:val="nil"/>
          <w:bottom w:val="nil"/>
          <w:right w:val="nil"/>
          <w:between w:val="nil"/>
        </w:pBdr>
        <w:contextualSpacing/>
        <w:rPr>
          <w:b/>
          <w:bCs/>
          <w:i/>
          <w:iCs/>
        </w:rPr>
      </w:pPr>
    </w:p>
    <w:p w14:paraId="3D87F851" w14:textId="3E436569" w:rsidR="00DC0ACF" w:rsidRPr="0063792C" w:rsidRDefault="00DC0ACF" w:rsidP="00DC0ACF">
      <w:pPr>
        <w:pStyle w:val="BodyText0"/>
        <w:spacing w:before="69"/>
        <w:ind w:right="193"/>
        <w:jc w:val="both"/>
      </w:pPr>
      <w:r w:rsidRPr="0063792C">
        <w:rPr>
          <w:b/>
          <w:bCs/>
          <w:i/>
          <w:iCs/>
        </w:rPr>
        <w:t xml:space="preserve">The </w:t>
      </w:r>
      <w:r w:rsidR="00370347">
        <w:rPr>
          <w:b/>
          <w:bCs/>
          <w:i/>
          <w:iCs/>
        </w:rPr>
        <w:t>Issuer</w:t>
      </w:r>
      <w:r w:rsidRPr="0063792C">
        <w:rPr>
          <w:b/>
          <w:bCs/>
          <w:i/>
          <w:iCs/>
        </w:rPr>
        <w:t xml:space="preserve">'s management may have broad discretion in how the </w:t>
      </w:r>
      <w:r w:rsidR="00370347">
        <w:rPr>
          <w:b/>
          <w:bCs/>
          <w:i/>
          <w:iCs/>
        </w:rPr>
        <w:t>Issuer</w:t>
      </w:r>
      <w:r w:rsidRPr="0063792C">
        <w:rPr>
          <w:b/>
          <w:bCs/>
          <w:i/>
          <w:iCs/>
        </w:rPr>
        <w:t xml:space="preserve"> uses the net proceeds of the Offering.</w:t>
      </w:r>
    </w:p>
    <w:p w14:paraId="244E1079" w14:textId="77777777" w:rsidR="00DC0ACF" w:rsidRPr="0063792C" w:rsidRDefault="00DC0ACF" w:rsidP="00DC0ACF">
      <w:pPr>
        <w:pStyle w:val="BodyText0"/>
      </w:pPr>
    </w:p>
    <w:p w14:paraId="61DAABA6" w14:textId="30842F13" w:rsidR="00DC0ACF" w:rsidRPr="0063792C" w:rsidRDefault="00DC0ACF" w:rsidP="00DC0ACF">
      <w:pPr>
        <w:pBdr>
          <w:top w:val="nil"/>
          <w:left w:val="nil"/>
          <w:bottom w:val="nil"/>
          <w:right w:val="nil"/>
          <w:between w:val="nil"/>
        </w:pBdr>
        <w:contextualSpacing/>
      </w:pPr>
      <w:r w:rsidRPr="0063792C">
        <w:t xml:space="preserve">Unless the </w:t>
      </w:r>
      <w:r w:rsidR="00370347">
        <w:t>Issuer</w:t>
      </w:r>
      <w:r w:rsidRPr="0063792C">
        <w:t xml:space="preserve"> has agreed to a specific use of the proceeds from the Offering, the </w:t>
      </w:r>
      <w:r w:rsidR="00370347">
        <w:t>Issuer</w:t>
      </w:r>
      <w:r w:rsidRPr="0063792C">
        <w:t>’s management will have considerable discretion over the use of proceeds from the Offering. You may not have the opportunity, as part of your investment decision, to assess whether the proceeds are being used appropriately.</w:t>
      </w:r>
    </w:p>
    <w:p w14:paraId="24A076E2" w14:textId="77777777" w:rsidR="005D27D5" w:rsidRDefault="005D27D5" w:rsidP="005D27D5">
      <w:pPr>
        <w:pBdr>
          <w:top w:val="nil"/>
          <w:left w:val="nil"/>
          <w:bottom w:val="nil"/>
          <w:right w:val="nil"/>
          <w:between w:val="nil"/>
        </w:pBdr>
        <w:contextualSpacing/>
      </w:pPr>
    </w:p>
    <w:p w14:paraId="4ED3413F" w14:textId="0395CB2F" w:rsidR="00370347" w:rsidRPr="00370347" w:rsidRDefault="00370347" w:rsidP="005D27D5">
      <w:pPr>
        <w:pBdr>
          <w:top w:val="nil"/>
          <w:left w:val="nil"/>
          <w:bottom w:val="nil"/>
          <w:right w:val="nil"/>
          <w:between w:val="nil"/>
        </w:pBdr>
        <w:contextualSpacing/>
        <w:rPr>
          <w:b/>
          <w:bCs/>
          <w:i/>
          <w:iCs/>
        </w:rPr>
      </w:pPr>
      <w:r w:rsidRPr="00370347">
        <w:rPr>
          <w:b/>
          <w:bCs/>
          <w:i/>
          <w:iCs/>
        </w:rPr>
        <w:t xml:space="preserve">The Intermediary Fees paid by the Issuer are subject to change depending on the success of the Offering. </w:t>
      </w:r>
    </w:p>
    <w:p w14:paraId="1A77A37D" w14:textId="77777777" w:rsidR="00370347" w:rsidRDefault="00370347" w:rsidP="00DC0ACF">
      <w:pPr>
        <w:pBdr>
          <w:top w:val="nil"/>
          <w:left w:val="nil"/>
          <w:bottom w:val="nil"/>
          <w:right w:val="nil"/>
          <w:between w:val="nil"/>
        </w:pBdr>
        <w:contextualSpacing/>
      </w:pPr>
    </w:p>
    <w:p w14:paraId="1E418C7E" w14:textId="4D2CECEC" w:rsidR="00370347" w:rsidRDefault="00370347" w:rsidP="00DC0ACF">
      <w:pPr>
        <w:pBdr>
          <w:top w:val="nil"/>
          <w:left w:val="nil"/>
          <w:bottom w:val="nil"/>
          <w:right w:val="nil"/>
          <w:between w:val="nil"/>
        </w:pBdr>
        <w:contextualSpacing/>
        <w:rPr>
          <w:b/>
          <w:bCs/>
          <w:i/>
          <w:iCs/>
        </w:rPr>
      </w:pPr>
      <w:r>
        <w:t xml:space="preserve">At the conclusion of the Offering, the Issuer shall pay the Intermediary </w:t>
      </w:r>
      <w:r w:rsidR="0029799F" w:rsidRPr="0029799F">
        <w:t>the greater of (A) a fee of six percent (6%) of the dollar amount raised in the Offering or (B) a cash fee of twelve thousand dollars ($12,000.00)</w:t>
      </w:r>
      <w:r>
        <w:t>. The compensation paid by the Issuer to the Intermediary may impact how the Issuer uses the net proceeds of the Offering.</w:t>
      </w:r>
    </w:p>
    <w:p w14:paraId="44855C1D" w14:textId="77777777" w:rsidR="00370347" w:rsidRDefault="00370347" w:rsidP="00DC0ACF">
      <w:pPr>
        <w:pBdr>
          <w:top w:val="nil"/>
          <w:left w:val="nil"/>
          <w:bottom w:val="nil"/>
          <w:right w:val="nil"/>
          <w:between w:val="nil"/>
        </w:pBdr>
        <w:contextualSpacing/>
        <w:rPr>
          <w:b/>
          <w:bCs/>
          <w:i/>
          <w:iCs/>
        </w:rPr>
      </w:pPr>
    </w:p>
    <w:p w14:paraId="7048B8F3" w14:textId="31F836E3" w:rsidR="00DC0ACF" w:rsidRPr="0063792C" w:rsidRDefault="00DC0ACF" w:rsidP="00DC0ACF">
      <w:pPr>
        <w:pBdr>
          <w:top w:val="nil"/>
          <w:left w:val="nil"/>
          <w:bottom w:val="nil"/>
          <w:right w:val="nil"/>
          <w:between w:val="nil"/>
        </w:pBdr>
        <w:contextualSpacing/>
        <w:rPr>
          <w:b/>
          <w:bCs/>
          <w:i/>
          <w:iCs/>
        </w:rPr>
      </w:pPr>
      <w:r w:rsidRPr="0063792C">
        <w:rPr>
          <w:b/>
          <w:bCs/>
          <w:i/>
          <w:iCs/>
        </w:rPr>
        <w:t xml:space="preserve">The </w:t>
      </w:r>
      <w:r w:rsidR="00370347">
        <w:rPr>
          <w:b/>
          <w:bCs/>
          <w:i/>
          <w:iCs/>
        </w:rPr>
        <w:t>Issuer</w:t>
      </w:r>
      <w:r w:rsidRPr="0063792C">
        <w:rPr>
          <w:b/>
          <w:bCs/>
          <w:i/>
          <w:iCs/>
        </w:rPr>
        <w:t xml:space="preserve"> has the right to limit individual Investor commitment amounts based on the </w:t>
      </w:r>
      <w:r w:rsidR="00370347">
        <w:rPr>
          <w:b/>
          <w:bCs/>
          <w:i/>
          <w:iCs/>
        </w:rPr>
        <w:t>Issuer</w:t>
      </w:r>
      <w:r w:rsidRPr="0063792C">
        <w:rPr>
          <w:b/>
          <w:bCs/>
          <w:i/>
          <w:iCs/>
        </w:rPr>
        <w:t>’s determination of an Investor’s sophistication.</w:t>
      </w:r>
    </w:p>
    <w:p w14:paraId="30EC2F99" w14:textId="77777777" w:rsidR="00DC0ACF" w:rsidRPr="0063792C" w:rsidRDefault="00DC0ACF" w:rsidP="00DC0ACF">
      <w:pPr>
        <w:pBdr>
          <w:top w:val="nil"/>
          <w:left w:val="nil"/>
          <w:bottom w:val="nil"/>
          <w:right w:val="nil"/>
          <w:between w:val="nil"/>
        </w:pBdr>
        <w:contextualSpacing/>
        <w:rPr>
          <w:b/>
          <w:bCs/>
          <w:i/>
          <w:iCs/>
        </w:rPr>
      </w:pPr>
    </w:p>
    <w:p w14:paraId="6FEADB05" w14:textId="021E7E92" w:rsidR="00DC0ACF" w:rsidRPr="0063792C" w:rsidRDefault="00DC0ACF" w:rsidP="00DC0ACF">
      <w:pPr>
        <w:pBdr>
          <w:top w:val="nil"/>
          <w:left w:val="nil"/>
          <w:bottom w:val="nil"/>
          <w:right w:val="nil"/>
          <w:between w:val="nil"/>
        </w:pBdr>
        <w:contextualSpacing/>
        <w:rPr>
          <w:b/>
          <w:bCs/>
          <w:i/>
          <w:iCs/>
        </w:rPr>
      </w:pPr>
      <w:r w:rsidRPr="0063792C">
        <w:t xml:space="preserve">The </w:t>
      </w:r>
      <w:r w:rsidR="00370347">
        <w:t>Issuer</w:t>
      </w:r>
      <w:r w:rsidRPr="0063792C">
        <w:t xml:space="preserve"> may prevent any Investor from committing more than a certain amount in this Offering based on the </w:t>
      </w:r>
      <w:r w:rsidR="00370347">
        <w:t>Issuer</w:t>
      </w:r>
      <w:r w:rsidRPr="0063792C">
        <w:t xml:space="preserve">’s determination of the Investor’s sophistication and ability to assume the risk of the investment. This means that your desired investment amount may be limited or lowered based solely on the </w:t>
      </w:r>
      <w:r w:rsidR="00370347">
        <w:t>Issuer</w:t>
      </w:r>
      <w:r w:rsidRPr="0063792C">
        <w:t>’s determination and not in line with relevant investment limits set forth by the Regulation C</w:t>
      </w:r>
      <w:r>
        <w:t>F</w:t>
      </w:r>
      <w:r w:rsidRPr="0063792C">
        <w:t xml:space="preserve"> rules. This also means that other Investors may receive larger allocations of the Offering based solely on the </w:t>
      </w:r>
      <w:r w:rsidR="00370347">
        <w:t>Issuer</w:t>
      </w:r>
      <w:r w:rsidRPr="0063792C">
        <w:t>’s determination.</w:t>
      </w:r>
    </w:p>
    <w:p w14:paraId="1FE131E0" w14:textId="77777777" w:rsidR="00DC0ACF" w:rsidRDefault="00DC0ACF" w:rsidP="00DC0ACF">
      <w:pPr>
        <w:pBdr>
          <w:top w:val="nil"/>
          <w:left w:val="nil"/>
          <w:bottom w:val="nil"/>
          <w:right w:val="nil"/>
          <w:between w:val="nil"/>
        </w:pBdr>
        <w:contextualSpacing/>
        <w:rPr>
          <w:b/>
          <w:bCs/>
          <w:i/>
          <w:iCs/>
        </w:rPr>
      </w:pPr>
    </w:p>
    <w:p w14:paraId="1D4316F3" w14:textId="44CD27D3" w:rsidR="00DC0ACF" w:rsidRPr="0063792C" w:rsidRDefault="00DC0ACF" w:rsidP="00DC0ACF">
      <w:pPr>
        <w:pBdr>
          <w:top w:val="nil"/>
          <w:left w:val="nil"/>
          <w:bottom w:val="nil"/>
          <w:right w:val="nil"/>
          <w:between w:val="nil"/>
        </w:pBdr>
        <w:contextualSpacing/>
        <w:rPr>
          <w:b/>
          <w:bCs/>
          <w:i/>
          <w:iCs/>
        </w:rPr>
      </w:pPr>
      <w:r w:rsidRPr="0063792C">
        <w:rPr>
          <w:b/>
          <w:bCs/>
          <w:i/>
          <w:iCs/>
        </w:rPr>
        <w:t xml:space="preserve">The </w:t>
      </w:r>
      <w:r w:rsidR="00370347">
        <w:rPr>
          <w:b/>
          <w:bCs/>
          <w:i/>
          <w:iCs/>
        </w:rPr>
        <w:t>Issuer</w:t>
      </w:r>
      <w:r w:rsidRPr="0063792C">
        <w:rPr>
          <w:b/>
          <w:bCs/>
          <w:i/>
          <w:iCs/>
        </w:rPr>
        <w:t xml:space="preserve"> has the right to extend the Offering Deadline.</w:t>
      </w:r>
    </w:p>
    <w:p w14:paraId="31D42113" w14:textId="77777777" w:rsidR="00DC0ACF" w:rsidRPr="0063792C" w:rsidRDefault="00DC0ACF" w:rsidP="00DC0ACF">
      <w:pPr>
        <w:pBdr>
          <w:top w:val="nil"/>
          <w:left w:val="nil"/>
          <w:bottom w:val="nil"/>
          <w:right w:val="nil"/>
          <w:between w:val="nil"/>
        </w:pBdr>
        <w:contextualSpacing/>
        <w:rPr>
          <w:b/>
          <w:bCs/>
          <w:i/>
          <w:iCs/>
        </w:rPr>
      </w:pPr>
    </w:p>
    <w:p w14:paraId="3205A39B" w14:textId="2DA0A2A4" w:rsidR="00DC0ACF" w:rsidRPr="0063792C" w:rsidRDefault="00DC0ACF" w:rsidP="00DC0ACF">
      <w:pPr>
        <w:pBdr>
          <w:top w:val="nil"/>
          <w:left w:val="nil"/>
          <w:bottom w:val="nil"/>
          <w:right w:val="nil"/>
          <w:between w:val="nil"/>
        </w:pBdr>
        <w:contextualSpacing/>
      </w:pPr>
      <w:r w:rsidRPr="0063792C">
        <w:t xml:space="preserve">The </w:t>
      </w:r>
      <w:r w:rsidR="00370347">
        <w:t xml:space="preserve">Issuer </w:t>
      </w:r>
      <w:r w:rsidRPr="0063792C">
        <w:t xml:space="preserve">may extend the Offering Deadline beyond what is currently stated herein. This means that your investment may continue to be held in escrow while the </w:t>
      </w:r>
      <w:r w:rsidR="00370347">
        <w:t>Issuer</w:t>
      </w:r>
      <w:r w:rsidRPr="0063792C">
        <w:t xml:space="preserve"> attempts to raise the Target </w:t>
      </w:r>
      <w:r>
        <w:t xml:space="preserve">Offering </w:t>
      </w:r>
      <w:r w:rsidRPr="0063792C">
        <w:t xml:space="preserve">Amount even after the Offering Deadline stated herein is reached. While you have the right to cancel your investment in the event the </w:t>
      </w:r>
      <w:r w:rsidR="00370347">
        <w:t>Issuer</w:t>
      </w:r>
      <w:r w:rsidRPr="0063792C">
        <w:t xml:space="preserve"> extends the Offering Deadline, if you choose to reconfirm your investment, your investment will not be accruing interest during this time and will simply be held until such time as the new Offering Deadline is reached without the </w:t>
      </w:r>
      <w:r w:rsidR="00370347">
        <w:t>Issuer</w:t>
      </w:r>
      <w:r w:rsidRPr="0063792C">
        <w:t xml:space="preserve"> receiving the Target </w:t>
      </w:r>
      <w:r>
        <w:t xml:space="preserve">Offering </w:t>
      </w:r>
      <w:r w:rsidRPr="0063792C">
        <w:t xml:space="preserve">Amount, at which time it will be returned to you without interest or deduction, or the </w:t>
      </w:r>
      <w:r w:rsidR="00370347">
        <w:t>Issuer</w:t>
      </w:r>
      <w:r w:rsidRPr="0063792C">
        <w:t xml:space="preserve"> receives the Target </w:t>
      </w:r>
      <w:r>
        <w:t xml:space="preserve">Offering </w:t>
      </w:r>
      <w:r w:rsidRPr="0063792C">
        <w:t xml:space="preserve">Amount, at which time it will be released to the </w:t>
      </w:r>
      <w:r w:rsidR="00370347">
        <w:t>Issuer</w:t>
      </w:r>
      <w:r w:rsidRPr="0063792C">
        <w:t xml:space="preserve"> to be used as set forth herein. Upon or shortly after the release of such funds to the </w:t>
      </w:r>
      <w:r w:rsidR="00370347">
        <w:t>Issuer</w:t>
      </w:r>
      <w:r w:rsidRPr="0063792C">
        <w:t>, the Securities will be issued and distributed to you.</w:t>
      </w:r>
    </w:p>
    <w:p w14:paraId="1D6232A6" w14:textId="77777777" w:rsidR="00DC0ACF" w:rsidRPr="0063792C" w:rsidRDefault="00DC0ACF" w:rsidP="00DC0ACF">
      <w:pPr>
        <w:pBdr>
          <w:top w:val="nil"/>
          <w:left w:val="nil"/>
          <w:bottom w:val="nil"/>
          <w:right w:val="nil"/>
          <w:between w:val="nil"/>
        </w:pBdr>
        <w:contextualSpacing/>
        <w:rPr>
          <w:b/>
          <w:bCs/>
          <w:i/>
          <w:iCs/>
          <w:color w:val="000000" w:themeColor="text1"/>
        </w:rPr>
      </w:pPr>
    </w:p>
    <w:p w14:paraId="5B3DCCC4" w14:textId="30295D9E" w:rsidR="00DC0ACF" w:rsidRPr="00CC3A4E" w:rsidRDefault="00DC0ACF" w:rsidP="00DC0ACF">
      <w:pPr>
        <w:pBdr>
          <w:top w:val="nil"/>
          <w:left w:val="nil"/>
          <w:bottom w:val="nil"/>
          <w:right w:val="nil"/>
          <w:between w:val="nil"/>
        </w:pBdr>
        <w:contextualSpacing/>
        <w:rPr>
          <w:b/>
          <w:bCs/>
          <w:i/>
          <w:iCs/>
          <w:color w:val="000000" w:themeColor="text1"/>
        </w:rPr>
      </w:pPr>
      <w:r w:rsidRPr="00CC3A4E">
        <w:rPr>
          <w:b/>
          <w:bCs/>
          <w:i/>
          <w:iCs/>
          <w:color w:val="000000" w:themeColor="text1"/>
        </w:rPr>
        <w:t xml:space="preserve">The </w:t>
      </w:r>
      <w:r w:rsidR="00370347">
        <w:rPr>
          <w:b/>
          <w:bCs/>
          <w:i/>
          <w:iCs/>
          <w:color w:val="000000" w:themeColor="text1"/>
        </w:rPr>
        <w:t>Issuer</w:t>
      </w:r>
      <w:r w:rsidRPr="00CC3A4E">
        <w:rPr>
          <w:b/>
          <w:bCs/>
          <w:i/>
          <w:iCs/>
          <w:color w:val="000000" w:themeColor="text1"/>
        </w:rPr>
        <w:t xml:space="preserve"> may also end the Offering early. </w:t>
      </w:r>
    </w:p>
    <w:p w14:paraId="6CE55976" w14:textId="77777777" w:rsidR="00DC0ACF" w:rsidRDefault="00DC0ACF" w:rsidP="00DC0ACF">
      <w:pPr>
        <w:pBdr>
          <w:top w:val="nil"/>
          <w:left w:val="nil"/>
          <w:bottom w:val="nil"/>
          <w:right w:val="nil"/>
          <w:between w:val="nil"/>
        </w:pBdr>
        <w:contextualSpacing/>
        <w:rPr>
          <w:color w:val="000000" w:themeColor="text1"/>
        </w:rPr>
      </w:pPr>
    </w:p>
    <w:p w14:paraId="35A5F10A" w14:textId="09889D20" w:rsidR="00DC0ACF" w:rsidRPr="0063792C" w:rsidRDefault="00DC0ACF" w:rsidP="00DC0ACF">
      <w:pPr>
        <w:pBdr>
          <w:top w:val="nil"/>
          <w:left w:val="nil"/>
          <w:bottom w:val="nil"/>
          <w:right w:val="nil"/>
          <w:between w:val="nil"/>
        </w:pBdr>
        <w:contextualSpacing/>
        <w:rPr>
          <w:color w:val="000000" w:themeColor="text1"/>
        </w:rPr>
      </w:pPr>
      <w:r w:rsidRPr="0063792C">
        <w:rPr>
          <w:color w:val="000000" w:themeColor="text1"/>
        </w:rPr>
        <w:t xml:space="preserve">If the Target </w:t>
      </w:r>
      <w:r>
        <w:rPr>
          <w:color w:val="000000" w:themeColor="text1"/>
        </w:rPr>
        <w:t xml:space="preserve">Offering </w:t>
      </w:r>
      <w:r w:rsidRPr="0063792C">
        <w:rPr>
          <w:color w:val="000000" w:themeColor="text1"/>
        </w:rPr>
        <w:t>Amount</w:t>
      </w:r>
      <w:r>
        <w:rPr>
          <w:color w:val="000000" w:themeColor="text1"/>
        </w:rPr>
        <w:t xml:space="preserve"> is met</w:t>
      </w:r>
      <w:r w:rsidRPr="0063792C">
        <w:rPr>
          <w:color w:val="000000" w:themeColor="text1"/>
        </w:rPr>
        <w:t xml:space="preserve"> after 21</w:t>
      </w:r>
      <w:r>
        <w:rPr>
          <w:color w:val="000000" w:themeColor="text1"/>
        </w:rPr>
        <w:t xml:space="preserve"> </w:t>
      </w:r>
      <w:r w:rsidRPr="0063792C">
        <w:rPr>
          <w:color w:val="000000" w:themeColor="text1"/>
        </w:rPr>
        <w:t xml:space="preserve">calendar days, but before the Offering Deadline, the </w:t>
      </w:r>
      <w:r w:rsidR="00370347">
        <w:rPr>
          <w:color w:val="000000" w:themeColor="text1"/>
        </w:rPr>
        <w:t>Issuer</w:t>
      </w:r>
      <w:r w:rsidRPr="0063792C">
        <w:rPr>
          <w:color w:val="000000" w:themeColor="text1"/>
        </w:rPr>
        <w:t xml:space="preserve"> can end the Offering by providing notice to Investor</w:t>
      </w:r>
      <w:r>
        <w:rPr>
          <w:color w:val="000000" w:themeColor="text1"/>
        </w:rPr>
        <w:t>s at least</w:t>
      </w:r>
      <w:r w:rsidRPr="0063792C">
        <w:rPr>
          <w:color w:val="000000" w:themeColor="text1"/>
        </w:rPr>
        <w:t xml:space="preserve"> 5 business days prior to the end of the Offering. This means your failure to participate in the Offering in a timely manner, may prevent you from being able to </w:t>
      </w:r>
      <w:r>
        <w:rPr>
          <w:color w:val="000000" w:themeColor="text1"/>
        </w:rPr>
        <w:t>invest in this Offering</w:t>
      </w:r>
      <w:r w:rsidRPr="0063792C">
        <w:rPr>
          <w:color w:val="000000" w:themeColor="text1"/>
        </w:rPr>
        <w:t xml:space="preserve"> – it also means the </w:t>
      </w:r>
      <w:r w:rsidR="00370347">
        <w:t>Issuer</w:t>
      </w:r>
      <w:r w:rsidRPr="0063792C">
        <w:rPr>
          <w:color w:val="000000" w:themeColor="text1"/>
        </w:rPr>
        <w:t xml:space="preserve"> may limit the amount of capital it can raise during the Offering by ending the Offering early.</w:t>
      </w:r>
    </w:p>
    <w:p w14:paraId="63777FF2" w14:textId="77777777" w:rsidR="00DC0ACF" w:rsidRDefault="00DC0ACF" w:rsidP="00DC0ACF">
      <w:pPr>
        <w:contextualSpacing/>
        <w:rPr>
          <w:b/>
          <w:i/>
        </w:rPr>
      </w:pPr>
    </w:p>
    <w:p w14:paraId="7A7446BE" w14:textId="5DC6538B" w:rsidR="00DC0ACF" w:rsidRPr="005B3D7A" w:rsidRDefault="00DC0ACF" w:rsidP="00DC0ACF">
      <w:pPr>
        <w:contextualSpacing/>
      </w:pPr>
      <w:r w:rsidRPr="005B3D7A">
        <w:rPr>
          <w:b/>
          <w:i/>
        </w:rPr>
        <w:t xml:space="preserve">The </w:t>
      </w:r>
      <w:r w:rsidR="00370347">
        <w:rPr>
          <w:b/>
          <w:i/>
        </w:rPr>
        <w:t>Issuer</w:t>
      </w:r>
      <w:r w:rsidRPr="005B3D7A">
        <w:rPr>
          <w:b/>
          <w:i/>
        </w:rPr>
        <w:t xml:space="preserve"> has the right to conduct multiple closings during the Offering.</w:t>
      </w:r>
      <w:r w:rsidRPr="005B3D7A">
        <w:t xml:space="preserve"> </w:t>
      </w:r>
    </w:p>
    <w:p w14:paraId="59CAF370" w14:textId="77777777" w:rsidR="00DC0ACF" w:rsidRPr="005B3D7A" w:rsidRDefault="00DC0ACF" w:rsidP="00DC0ACF">
      <w:pPr>
        <w:contextualSpacing/>
      </w:pPr>
    </w:p>
    <w:p w14:paraId="59E9F8D0" w14:textId="317F06EC" w:rsidR="00DC0ACF" w:rsidRPr="0063792C" w:rsidRDefault="00DC0ACF" w:rsidP="00DC0ACF">
      <w:pPr>
        <w:contextualSpacing/>
      </w:pPr>
      <w:r w:rsidRPr="005B3D7A">
        <w:t xml:space="preserve">If the </w:t>
      </w:r>
      <w:r w:rsidR="00370347">
        <w:t>Issuer</w:t>
      </w:r>
      <w:r w:rsidRPr="005B3D7A">
        <w:t xml:space="preserve"> meets certain terms and conditions, an intermediate close </w:t>
      </w:r>
      <w:r>
        <w:t xml:space="preserve">(also known as a rolling close) </w:t>
      </w:r>
      <w:r w:rsidRPr="005B3D7A">
        <w:t xml:space="preserve">of the Offering can occur, which will allow the </w:t>
      </w:r>
      <w:r w:rsidR="00370347">
        <w:t>Issuer</w:t>
      </w:r>
      <w:r w:rsidRPr="005B3D7A">
        <w:t xml:space="preserve"> to draw down on </w:t>
      </w:r>
      <w:r>
        <w:t>seventy percent (70%)</w:t>
      </w:r>
      <w:r w:rsidRPr="005B3D7A">
        <w:t xml:space="preserve"> of </w:t>
      </w:r>
      <w:r>
        <w:t>Investor</w:t>
      </w:r>
      <w:r w:rsidRPr="005B3D7A">
        <w:t xml:space="preserve"> proceeds committed and captured in the Offering during the relevant period. The </w:t>
      </w:r>
      <w:r w:rsidR="00370347">
        <w:t>Issuer</w:t>
      </w:r>
      <w:r w:rsidRPr="005B3D7A">
        <w:t xml:space="preserve"> may choose to continue the Offering thereafter. Investors should be mindful that this means they can make multiple investment commitments in the Offering, which may be subject to different cancellation rights. For example, if an intermediate close occurs and later a material change occurs as the Offering continues, Investors whose investment commitments were previously closed upon will not have the right to re-confirm their investment as it will be deemed to have been completed prior to the material change.</w:t>
      </w:r>
    </w:p>
    <w:p w14:paraId="7FFB1754" w14:textId="77777777" w:rsidR="00DC0ACF" w:rsidRPr="0063792C" w:rsidRDefault="00DC0ACF" w:rsidP="00DC0ACF">
      <w:pPr>
        <w:pBdr>
          <w:top w:val="nil"/>
          <w:left w:val="nil"/>
          <w:bottom w:val="nil"/>
          <w:right w:val="nil"/>
          <w:between w:val="nil"/>
        </w:pBdr>
        <w:contextualSpacing/>
        <w:rPr>
          <w:highlight w:val="yellow"/>
        </w:rPr>
      </w:pPr>
    </w:p>
    <w:p w14:paraId="4E42E87E" w14:textId="77777777" w:rsidR="00FC1A8E" w:rsidRDefault="00FC1A8E" w:rsidP="00DC0ACF">
      <w:pPr>
        <w:pStyle w:val="Heading2"/>
        <w:contextualSpacing/>
      </w:pPr>
      <w:bookmarkStart w:id="23" w:name="_Toc103593645"/>
    </w:p>
    <w:p w14:paraId="5096E364" w14:textId="77777777" w:rsidR="009C1B28" w:rsidRDefault="009C1B28">
      <w:pPr>
        <w:jc w:val="left"/>
        <w:rPr>
          <w:b/>
        </w:rPr>
      </w:pPr>
      <w:r>
        <w:br w:type="page"/>
      </w:r>
    </w:p>
    <w:p w14:paraId="5EBAF490" w14:textId="645CA0EF" w:rsidR="00DC0ACF" w:rsidRPr="0063792C" w:rsidRDefault="00DC0ACF" w:rsidP="00DC0ACF">
      <w:pPr>
        <w:pStyle w:val="Heading2"/>
        <w:contextualSpacing/>
      </w:pPr>
      <w:r w:rsidRPr="00485FB0">
        <w:lastRenderedPageBreak/>
        <w:t>Risks Related to the Securities</w:t>
      </w:r>
      <w:bookmarkEnd w:id="23"/>
      <w:r w:rsidRPr="0063792C">
        <w:t xml:space="preserve"> </w:t>
      </w:r>
    </w:p>
    <w:p w14:paraId="45452CAD" w14:textId="77777777" w:rsidR="00DC0ACF" w:rsidRPr="0063792C" w:rsidRDefault="00DC0ACF" w:rsidP="00DC0ACF"/>
    <w:p w14:paraId="09CFC610" w14:textId="77777777" w:rsidR="00DC0ACF" w:rsidRPr="00CC1255" w:rsidRDefault="00DC0ACF" w:rsidP="00DC0ACF">
      <w:pPr>
        <w:rPr>
          <w:b/>
          <w:bCs/>
          <w:i/>
          <w:iCs/>
        </w:rPr>
      </w:pPr>
      <w:r w:rsidRPr="00CC1255">
        <w:rPr>
          <w:b/>
          <w:bCs/>
          <w:i/>
          <w:iCs/>
        </w:rPr>
        <w:t>Investors will not have voting rights, even upon conversion of the Securities and will grant a third-party nominee broad power and authority to act on their behalf.</w:t>
      </w:r>
    </w:p>
    <w:p w14:paraId="02EE05CB" w14:textId="77777777" w:rsidR="00DC0ACF" w:rsidRPr="00CC1255" w:rsidRDefault="00DC0ACF" w:rsidP="00DC0ACF">
      <w:pPr>
        <w:rPr>
          <w:b/>
          <w:bCs/>
          <w:i/>
          <w:iCs/>
        </w:rPr>
      </w:pPr>
    </w:p>
    <w:p w14:paraId="0060F625" w14:textId="49F267DD" w:rsidR="00DC0ACF" w:rsidRPr="00BD59DC" w:rsidRDefault="00DC0ACF" w:rsidP="00DC0ACF">
      <w:r w:rsidRPr="00CC1255">
        <w:rPr>
          <w:bCs/>
        </w:rPr>
        <w:t>In connection with investing</w:t>
      </w:r>
      <w:r>
        <w:rPr>
          <w:bCs/>
        </w:rPr>
        <w:t xml:space="preserve"> in this Offering</w:t>
      </w:r>
      <w:r w:rsidRPr="00CC1255">
        <w:rPr>
          <w:bCs/>
        </w:rPr>
        <w:t xml:space="preserve"> to purchase a </w:t>
      </w:r>
      <w:r w:rsidRPr="00AC1EF3">
        <w:t>SAFE (Simple Agreement for Future Equity</w:t>
      </w:r>
      <w:r>
        <w:t xml:space="preserve">) </w:t>
      </w:r>
      <w:r w:rsidR="006E4B4B">
        <w:t>I</w:t>
      </w:r>
      <w:r w:rsidRPr="00CC1255">
        <w:rPr>
          <w:bCs/>
        </w:rPr>
        <w:t xml:space="preserve">nvestors will designate </w:t>
      </w:r>
      <w:r w:rsidR="006E4B4B">
        <w:rPr>
          <w:bCs/>
        </w:rPr>
        <w:t xml:space="preserve">the Lead (as defined above) to act on behalf as proxy on behalf of Investors in respects to instructions related to the Securities. </w:t>
      </w:r>
      <w:r w:rsidR="006E4B4B" w:rsidRPr="006E4D87">
        <w:rPr>
          <w:bCs/>
        </w:rPr>
        <w:t xml:space="preserve">The </w:t>
      </w:r>
      <w:r w:rsidR="006E4B4B" w:rsidRPr="00E4137F">
        <w:rPr>
          <w:bCs/>
        </w:rPr>
        <w:t>Lead</w:t>
      </w:r>
      <w:r w:rsidR="006E4B4B" w:rsidRPr="006E4D87">
        <w:rPr>
          <w:bCs/>
        </w:rPr>
        <w:t xml:space="preserve"> will be entitled, among other things, to exercise any voting rights (if any) conferred upon the holder of the Securities or any securities acquired upon their conversion,</w:t>
      </w:r>
      <w:r w:rsidR="006E4B4B" w:rsidRPr="00E4137F">
        <w:rPr>
          <w:bCs/>
        </w:rPr>
        <w:t xml:space="preserve"> and</w:t>
      </w:r>
      <w:r w:rsidR="006E4B4B" w:rsidRPr="006E4D87">
        <w:rPr>
          <w:bCs/>
        </w:rPr>
        <w:t xml:space="preserve"> to execute on behalf of an investor all transaction documents related to the transaction or other corporate event causing the conversion of the </w:t>
      </w:r>
      <w:r w:rsidR="006E4B4B" w:rsidRPr="006E4D87">
        <w:t>Securities</w:t>
      </w:r>
      <w:r w:rsidR="006E4B4B" w:rsidRPr="00E4137F">
        <w:rPr>
          <w:bCs/>
        </w:rPr>
        <w:t>.</w:t>
      </w:r>
      <w:r w:rsidR="006E4B4B" w:rsidRPr="006E4D87">
        <w:rPr>
          <w:bCs/>
        </w:rPr>
        <w:t xml:space="preserve"> Thus, by participating in the Offering, investors will grant broad discretion to a third party (the </w:t>
      </w:r>
      <w:r w:rsidR="006E4B4B" w:rsidRPr="00E4137F">
        <w:rPr>
          <w:bCs/>
        </w:rPr>
        <w:t>Lead and its agents</w:t>
      </w:r>
      <w:r w:rsidR="006E4B4B" w:rsidRPr="006E4D87">
        <w:rPr>
          <w:bCs/>
        </w:rPr>
        <w:t xml:space="preserve">) to take various actions on their behalf, and investors will essentially not be able to vote upon matters related to the governance and affairs of the Issuer nor take or effect actions that might otherwise be available to holders of the </w:t>
      </w:r>
      <w:r w:rsidR="006E4B4B" w:rsidRPr="006E4D87">
        <w:t>Securities</w:t>
      </w:r>
      <w:r w:rsidR="006E4B4B" w:rsidRPr="006E4D87" w:rsidDel="005858D1">
        <w:t xml:space="preserve"> </w:t>
      </w:r>
      <w:r w:rsidR="006E4B4B" w:rsidRPr="006E4D87">
        <w:rPr>
          <w:bCs/>
        </w:rPr>
        <w:t xml:space="preserve">and any securities acquired upon their conversion. Investors should not participate in the Offering unless he, she or it is willing to waive or assign certain rights that might otherwise be afforded to a holder of the </w:t>
      </w:r>
      <w:r w:rsidR="006E4B4B" w:rsidRPr="006E4D87">
        <w:t>Securities</w:t>
      </w:r>
      <w:r w:rsidR="006E4B4B" w:rsidRPr="006E4D87">
        <w:rPr>
          <w:bCs/>
        </w:rPr>
        <w:t xml:space="preserve"> to the </w:t>
      </w:r>
      <w:r w:rsidR="006E4B4B" w:rsidRPr="00E4137F">
        <w:rPr>
          <w:bCs/>
        </w:rPr>
        <w:t>Lead</w:t>
      </w:r>
      <w:r w:rsidR="006E4B4B" w:rsidRPr="006E4D87">
        <w:rPr>
          <w:bCs/>
        </w:rPr>
        <w:t xml:space="preserve"> and grant broad authority to the </w:t>
      </w:r>
      <w:r w:rsidR="006E4B4B" w:rsidRPr="00E4137F">
        <w:rPr>
          <w:bCs/>
        </w:rPr>
        <w:t>Lead</w:t>
      </w:r>
      <w:r w:rsidR="006E4B4B" w:rsidRPr="006E4D87">
        <w:rPr>
          <w:bCs/>
        </w:rPr>
        <w:t xml:space="preserve"> to take certain actions on behalf of the investor</w:t>
      </w:r>
      <w:r w:rsidRPr="00CC1255">
        <w:rPr>
          <w:bCs/>
        </w:rPr>
        <w:t>.</w:t>
      </w:r>
    </w:p>
    <w:p w14:paraId="22CFA22B" w14:textId="77777777" w:rsidR="00DC0ACF" w:rsidRDefault="00DC0ACF" w:rsidP="00DC0ACF">
      <w:pPr>
        <w:rPr>
          <w:b/>
          <w:bCs/>
          <w:i/>
          <w:iCs/>
        </w:rPr>
      </w:pPr>
    </w:p>
    <w:p w14:paraId="0435E0FA" w14:textId="77777777" w:rsidR="006E4B4B" w:rsidRDefault="006E4B4B" w:rsidP="006E4B4B">
      <w:pPr>
        <w:rPr>
          <w:b/>
          <w:bCs/>
          <w:i/>
          <w:iCs/>
        </w:rPr>
      </w:pPr>
      <w:r>
        <w:rPr>
          <w:b/>
          <w:bCs/>
          <w:i/>
          <w:iCs/>
        </w:rPr>
        <w:t>The Custodian shall serve as the legal title holder of the Securities. Investors will only obtain a beneficial ownership in the Securities.</w:t>
      </w:r>
    </w:p>
    <w:p w14:paraId="22048AD3" w14:textId="77777777" w:rsidR="006E4B4B" w:rsidRDefault="006E4B4B" w:rsidP="006E4B4B">
      <w:pPr>
        <w:rPr>
          <w:b/>
          <w:bCs/>
          <w:i/>
          <w:iCs/>
        </w:rPr>
      </w:pPr>
    </w:p>
    <w:p w14:paraId="6BA8674C" w14:textId="77777777" w:rsidR="006E4B4B" w:rsidRDefault="006E4B4B" w:rsidP="006E4B4B">
      <w:r>
        <w:t>The Issuer and the Investor shall appoint and authorize the qualified third-party Custodian for the benefit of the Investor, to hold the SAFE and any securities that may be issued upon conversion thereof in registered form in the Custodian’s name or the name of the Custodian’s nominees for the benefit of the Investor and Investor’s permitted assigns. The Custodian may take direction from the Lead who will act on behalf of the Investors, and the Custodian may be permitted to rely on the Lead’s instructions related to the Securities. Investors may never become an equity holder, merely a beneficial owner of an equity interest.</w:t>
      </w:r>
    </w:p>
    <w:p w14:paraId="45F56BD7" w14:textId="77777777" w:rsidR="006E4B4B" w:rsidRDefault="006E4B4B" w:rsidP="006E4B4B"/>
    <w:p w14:paraId="128D02FE" w14:textId="3ED9D60C" w:rsidR="00DC0ACF" w:rsidRPr="0063792C" w:rsidRDefault="00DC0ACF" w:rsidP="006E4B4B">
      <w:pPr>
        <w:rPr>
          <w:b/>
          <w:bCs/>
          <w:i/>
          <w:iCs/>
        </w:rPr>
      </w:pPr>
      <w:r w:rsidRPr="0063792C">
        <w:rPr>
          <w:b/>
          <w:bCs/>
          <w:i/>
          <w:iCs/>
        </w:rPr>
        <w:t xml:space="preserve">The Securities will not be freely tradable under the Securities Act until one year from </w:t>
      </w:r>
      <w:r w:rsidR="00370347">
        <w:rPr>
          <w:b/>
          <w:bCs/>
          <w:i/>
          <w:iCs/>
        </w:rPr>
        <w:t xml:space="preserve">when </w:t>
      </w:r>
      <w:r w:rsidRPr="0063792C">
        <w:rPr>
          <w:b/>
          <w:bCs/>
          <w:i/>
          <w:iCs/>
        </w:rPr>
        <w:t xml:space="preserve">the </w:t>
      </w:r>
      <w:r w:rsidR="00370347">
        <w:rPr>
          <w:b/>
          <w:bCs/>
          <w:i/>
          <w:iCs/>
        </w:rPr>
        <w:t>securities are issued</w:t>
      </w:r>
      <w:r w:rsidRPr="0063792C">
        <w:rPr>
          <w:b/>
          <w:bCs/>
          <w:i/>
          <w:iCs/>
        </w:rPr>
        <w:t xml:space="preserve">. Although the Securities may be tradable under federal securities law, state securities regulations may apply, and each Investor should consult with </w:t>
      </w:r>
      <w:r>
        <w:rPr>
          <w:b/>
          <w:bCs/>
          <w:i/>
          <w:iCs/>
        </w:rPr>
        <w:t>their</w:t>
      </w:r>
      <w:r w:rsidRPr="0063792C">
        <w:rPr>
          <w:b/>
          <w:bCs/>
          <w:i/>
          <w:iCs/>
        </w:rPr>
        <w:t xml:space="preserve"> attorney.</w:t>
      </w:r>
    </w:p>
    <w:p w14:paraId="46B87668" w14:textId="77777777" w:rsidR="00DC0ACF" w:rsidRPr="0063792C" w:rsidRDefault="00DC0ACF" w:rsidP="00DC0ACF"/>
    <w:p w14:paraId="2DA34D19" w14:textId="716EA0A3" w:rsidR="00DC0ACF" w:rsidRPr="00BD59DC" w:rsidRDefault="00DC0ACF" w:rsidP="00DC0ACF">
      <w:pPr>
        <w:rPr>
          <w:bCs/>
        </w:rPr>
      </w:pPr>
      <w:r w:rsidRPr="0063792C">
        <w:rPr>
          <w:bCs/>
        </w:rPr>
        <w:t>You should be aware of the long-term nature of this investment. There is not now and likely will not</w:t>
      </w:r>
      <w:r>
        <w:rPr>
          <w:bCs/>
        </w:rPr>
        <w:t xml:space="preserve"> ever</w:t>
      </w:r>
      <w:r w:rsidRPr="0063792C">
        <w:rPr>
          <w:bCs/>
        </w:rPr>
        <w:t xml:space="preserve"> be a public market for the Securities. Because the Securities have not been registered under the Securities Act or under the securities laws of any state or foreign jurisdiction, the Securities have transfer restrictions and cannot be resold in the United States except pursuant to Rule 501 of Regulation CF. It is not currently contemplated that registration under the Securities Act or other securities laws will be </w:t>
      </w:r>
      <w:r>
        <w:rPr>
          <w:bCs/>
        </w:rPr>
        <w:t>e</w:t>
      </w:r>
      <w:r w:rsidRPr="0063792C">
        <w:rPr>
          <w:bCs/>
        </w:rPr>
        <w:t xml:space="preserve">ffected. Limitations on the transfer of the Securities may also adversely affect the price that you might be able to obtain for the Securities in a private sale. Investors should be aware of the long-term nature of their investment in the </w:t>
      </w:r>
      <w:r w:rsidR="00370347">
        <w:t>Issuer</w:t>
      </w:r>
      <w:r w:rsidRPr="0063792C">
        <w:rPr>
          <w:bCs/>
        </w:rPr>
        <w:t>. Each Investor in this Offering will be required to represent that they are purchasing the Securities for their own account, for investment purposes and not with a view to resale or distribution thereof.</w:t>
      </w:r>
      <w:r>
        <w:rPr>
          <w:bCs/>
        </w:rPr>
        <w:t xml:space="preserve">  If a transfer, resale, assignment or distribution of the Security should occur prior to the conversion of the Security or after, if the Security is still held by the original purchaser directly, the transferee, purchaser, assignee or distribute, as relevant, will be required to sign a new </w:t>
      </w:r>
      <w:r w:rsidR="006E4B4B" w:rsidRPr="001F41AE">
        <w:rPr>
          <w:bCs/>
        </w:rPr>
        <w:t>Omnibus Nominee Trust Agreement</w:t>
      </w:r>
      <w:r w:rsidR="006E4B4B">
        <w:rPr>
          <w:bCs/>
        </w:rPr>
        <w:t xml:space="preserve"> </w:t>
      </w:r>
      <w:r w:rsidR="006E4B4B" w:rsidRPr="001F41AE">
        <w:rPr>
          <w:bCs/>
        </w:rPr>
        <w:t>(</w:t>
      </w:r>
      <w:r w:rsidR="006E4B4B">
        <w:rPr>
          <w:bCs/>
        </w:rPr>
        <w:t>attached as Exhibit D</w:t>
      </w:r>
      <w:r w:rsidR="006E4B4B" w:rsidRPr="001F41AE">
        <w:rPr>
          <w:bCs/>
        </w:rPr>
        <w:t>)</w:t>
      </w:r>
      <w:r>
        <w:rPr>
          <w:bCs/>
        </w:rPr>
        <w:t xml:space="preserve">. </w:t>
      </w:r>
      <w:r w:rsidR="006E4B4B">
        <w:rPr>
          <w:bCs/>
        </w:rPr>
        <w:t>Additionally,</w:t>
      </w:r>
      <w:r>
        <w:rPr>
          <w:bCs/>
        </w:rPr>
        <w:t xml:space="preserve"> </w:t>
      </w:r>
      <w:r w:rsidRPr="00BD59DC">
        <w:rPr>
          <w:bCs/>
        </w:rPr>
        <w:t xml:space="preserve">Investors will only have a beneficial interest in </w:t>
      </w:r>
      <w:r>
        <w:rPr>
          <w:bCs/>
        </w:rPr>
        <w:t>the equity securities derived from the Securities</w:t>
      </w:r>
      <w:r w:rsidRPr="00BD59DC">
        <w:rPr>
          <w:bCs/>
        </w:rPr>
        <w:t>, not legal</w:t>
      </w:r>
      <w:r>
        <w:rPr>
          <w:bCs/>
        </w:rPr>
        <w:t xml:space="preserve"> </w:t>
      </w:r>
      <w:r w:rsidRPr="00BD59DC">
        <w:rPr>
          <w:bCs/>
        </w:rPr>
        <w:t xml:space="preserve">ownership, which may make their resale more difficult as it will require coordination with </w:t>
      </w:r>
      <w:r>
        <w:rPr>
          <w:bCs/>
        </w:rPr>
        <w:t xml:space="preserve">the </w:t>
      </w:r>
      <w:r w:rsidR="006E4B4B">
        <w:rPr>
          <w:bCs/>
        </w:rPr>
        <w:t>C</w:t>
      </w:r>
      <w:r>
        <w:rPr>
          <w:bCs/>
        </w:rPr>
        <w:t>ustodian.</w:t>
      </w:r>
    </w:p>
    <w:p w14:paraId="0D5E94A5" w14:textId="77777777" w:rsidR="00DC0ACF" w:rsidRPr="0063792C" w:rsidRDefault="00DC0ACF" w:rsidP="00DC0ACF">
      <w:pPr>
        <w:rPr>
          <w:highlight w:val="yellow"/>
        </w:rPr>
      </w:pPr>
    </w:p>
    <w:p w14:paraId="00792C1A" w14:textId="634B56F7" w:rsidR="00DC0ACF" w:rsidRPr="0063792C" w:rsidRDefault="00DC0ACF" w:rsidP="00336FC8">
      <w:pPr>
        <w:rPr>
          <w:b/>
          <w:bCs/>
          <w:i/>
          <w:iCs/>
        </w:rPr>
      </w:pPr>
      <w:r w:rsidRPr="0063792C">
        <w:rPr>
          <w:b/>
          <w:bCs/>
          <w:i/>
          <w:iCs/>
        </w:rPr>
        <w:t xml:space="preserve">Investors will not become equity holders until the </w:t>
      </w:r>
      <w:r w:rsidR="00571237">
        <w:rPr>
          <w:b/>
          <w:bCs/>
          <w:i/>
          <w:iCs/>
        </w:rPr>
        <w:t>Issuer</w:t>
      </w:r>
      <w:r w:rsidRPr="0063792C">
        <w:rPr>
          <w:b/>
          <w:bCs/>
          <w:i/>
          <w:iCs/>
        </w:rPr>
        <w:t xml:space="preserve"> decides to convert the Securities or until there is a change of control or sale of substantially all of the </w:t>
      </w:r>
      <w:r w:rsidR="00571237">
        <w:rPr>
          <w:b/>
          <w:bCs/>
          <w:i/>
          <w:iCs/>
        </w:rPr>
        <w:t>Issuer</w:t>
      </w:r>
      <w:r w:rsidRPr="0063792C">
        <w:rPr>
          <w:b/>
          <w:bCs/>
          <w:i/>
          <w:iCs/>
        </w:rPr>
        <w:t>’s assets.</w:t>
      </w:r>
      <w:r>
        <w:rPr>
          <w:b/>
          <w:bCs/>
          <w:i/>
          <w:iCs/>
        </w:rPr>
        <w:t xml:space="preserve">  The Investor may never directly hold equity in the </w:t>
      </w:r>
      <w:r w:rsidR="00571237">
        <w:rPr>
          <w:b/>
          <w:bCs/>
          <w:i/>
          <w:iCs/>
        </w:rPr>
        <w:t>Issuer</w:t>
      </w:r>
      <w:r>
        <w:rPr>
          <w:b/>
          <w:bCs/>
          <w:i/>
          <w:iCs/>
        </w:rPr>
        <w:t>.</w:t>
      </w:r>
    </w:p>
    <w:p w14:paraId="439D90BA" w14:textId="77777777" w:rsidR="00DC0ACF" w:rsidRPr="0063792C" w:rsidRDefault="00DC0ACF" w:rsidP="00DC0ACF">
      <w:pPr>
        <w:rPr>
          <w:b/>
          <w:bCs/>
        </w:rPr>
      </w:pPr>
    </w:p>
    <w:p w14:paraId="0EC5FAA7" w14:textId="3C157FB5" w:rsidR="00DC0ACF" w:rsidRPr="0063792C" w:rsidRDefault="00DC0ACF" w:rsidP="00DC0ACF">
      <w:pPr>
        <w:rPr>
          <w:highlight w:val="yellow"/>
        </w:rPr>
      </w:pPr>
      <w:r w:rsidRPr="0063792C">
        <w:t xml:space="preserve">Investors will not have an ownership claim to the </w:t>
      </w:r>
      <w:r w:rsidR="00571237">
        <w:t>Issuer</w:t>
      </w:r>
      <w:r w:rsidRPr="0063792C">
        <w:t xml:space="preserve"> or to any of its assets or revenues for an indefinite amount of time and depending on when and how the Securities are converted, the Investors may never become equity holders of the </w:t>
      </w:r>
      <w:r w:rsidR="00571237">
        <w:t>Issuer</w:t>
      </w:r>
      <w:r w:rsidRPr="0063792C">
        <w:t xml:space="preserve">. Investors will not become equity holders of the </w:t>
      </w:r>
      <w:r w:rsidR="00571237">
        <w:t>Issuer</w:t>
      </w:r>
      <w:r w:rsidRPr="0063792C">
        <w:t xml:space="preserve"> unless the </w:t>
      </w:r>
      <w:r w:rsidR="00571237">
        <w:t>Issuer</w:t>
      </w:r>
      <w:r w:rsidRPr="0063792C">
        <w:t xml:space="preserve"> receives a future round of financing great enough to trigger a conversion and the </w:t>
      </w:r>
      <w:r w:rsidR="00571237">
        <w:t>Issuer</w:t>
      </w:r>
      <w:r w:rsidRPr="0063792C">
        <w:t xml:space="preserve"> elects to convert the Securities</w:t>
      </w:r>
      <w:r>
        <w:t>.</w:t>
      </w:r>
      <w:r w:rsidRPr="0063792C">
        <w:t xml:space="preserve"> The </w:t>
      </w:r>
      <w:r w:rsidR="00571237">
        <w:t>Issuer</w:t>
      </w:r>
      <w:r w:rsidRPr="0063792C">
        <w:t xml:space="preserve"> is under no obligation to convert the Securities. In certain instances, such as a sale of the </w:t>
      </w:r>
      <w:r w:rsidR="00571237">
        <w:t>Issuer</w:t>
      </w:r>
      <w:r w:rsidRPr="0063792C">
        <w:t xml:space="preserve"> or substantially all of its assets, an initial public offering or a dissolution or bankruptcy, the Investors may only have a right to receive cash, to the extent available, rather than equity in the </w:t>
      </w:r>
      <w:r w:rsidR="00571237">
        <w:t>Issuer</w:t>
      </w:r>
      <w:r w:rsidRPr="0063792C">
        <w:t>.</w:t>
      </w:r>
      <w:r>
        <w:t xml:space="preserve"> Further, the Investor may never become an equity holder, merely a beneficial owner of an equity interest, should the </w:t>
      </w:r>
      <w:r w:rsidR="00B22284">
        <w:t>Issuer</w:t>
      </w:r>
      <w:r>
        <w:t xml:space="preserve"> or the Nominee decide to move the </w:t>
      </w:r>
      <w:r w:rsidRPr="00AC1EF3">
        <w:t>SAFE</w:t>
      </w:r>
      <w:r>
        <w:t xml:space="preserve"> or the securities issuable thereto into a custodial relationship.</w:t>
      </w:r>
      <w:r w:rsidRPr="0063792C">
        <w:rPr>
          <w:highlight w:val="yellow"/>
        </w:rPr>
        <w:t xml:space="preserve"> </w:t>
      </w:r>
    </w:p>
    <w:p w14:paraId="5C2D97C2" w14:textId="77777777" w:rsidR="00DC0ACF" w:rsidRPr="0063792C" w:rsidRDefault="00DC0ACF" w:rsidP="00DC0ACF">
      <w:pPr>
        <w:rPr>
          <w:highlight w:val="yellow"/>
        </w:rPr>
      </w:pPr>
    </w:p>
    <w:p w14:paraId="4639C197" w14:textId="77777777" w:rsidR="00705431" w:rsidRDefault="00705431">
      <w:pPr>
        <w:jc w:val="left"/>
        <w:rPr>
          <w:b/>
          <w:bCs/>
          <w:i/>
          <w:iCs/>
        </w:rPr>
      </w:pPr>
      <w:r>
        <w:rPr>
          <w:b/>
          <w:bCs/>
          <w:i/>
          <w:iCs/>
        </w:rPr>
        <w:br w:type="page"/>
      </w:r>
    </w:p>
    <w:p w14:paraId="5C23C511" w14:textId="7FE9C50F" w:rsidR="00DC0ACF" w:rsidRPr="0063792C" w:rsidRDefault="00DC0ACF" w:rsidP="00DC0ACF">
      <w:pPr>
        <w:rPr>
          <w:b/>
          <w:bCs/>
          <w:i/>
          <w:iCs/>
        </w:rPr>
      </w:pPr>
      <w:r w:rsidRPr="0063792C">
        <w:rPr>
          <w:b/>
          <w:bCs/>
          <w:i/>
          <w:iCs/>
        </w:rPr>
        <w:lastRenderedPageBreak/>
        <w:t xml:space="preserve">Investors will not have voting rights, even upon conversion of the Securities. </w:t>
      </w:r>
    </w:p>
    <w:p w14:paraId="634C03FA" w14:textId="77777777" w:rsidR="00DC0ACF" w:rsidRPr="0063792C" w:rsidRDefault="00DC0ACF" w:rsidP="00DC0ACF">
      <w:pPr>
        <w:rPr>
          <w:b/>
        </w:rPr>
      </w:pPr>
    </w:p>
    <w:p w14:paraId="76416FC0" w14:textId="052CF6B3" w:rsidR="00DC0ACF" w:rsidRPr="00AA35B3" w:rsidRDefault="00DC0ACF" w:rsidP="00DC0ACF">
      <w:pPr>
        <w:pStyle w:val="Heading2"/>
        <w:rPr>
          <w:highlight w:val="yellow"/>
        </w:rPr>
      </w:pPr>
      <w:bookmarkStart w:id="24" w:name="_Toc103593646"/>
      <w:r w:rsidRPr="00BD59DC">
        <w:rPr>
          <w:b w:val="0"/>
        </w:rPr>
        <w:t xml:space="preserve">Investors will not have the right to vote upon matters of the </w:t>
      </w:r>
      <w:r w:rsidR="00571237">
        <w:rPr>
          <w:b w:val="0"/>
        </w:rPr>
        <w:t xml:space="preserve">Issuer </w:t>
      </w:r>
      <w:r w:rsidRPr="00BD59DC">
        <w:rPr>
          <w:b w:val="0"/>
        </w:rPr>
        <w:t xml:space="preserve">even if and when their Securities are converted (the occurrence of which cannot be guaranteed). Under the terms of the Securities, a third-party designated by the </w:t>
      </w:r>
      <w:r w:rsidR="00571237">
        <w:rPr>
          <w:b w:val="0"/>
        </w:rPr>
        <w:t>Issuer</w:t>
      </w:r>
      <w:r w:rsidRPr="00BD59DC">
        <w:rPr>
          <w:b w:val="0"/>
        </w:rPr>
        <w:t xml:space="preserve"> will exercise voting control over the Securities. Upon conversion, the Securities will </w:t>
      </w:r>
      <w:r w:rsidRPr="00BD59DC">
        <w:t>continue</w:t>
      </w:r>
      <w:r w:rsidRPr="00BD59DC">
        <w:rPr>
          <w:b w:val="0"/>
        </w:rPr>
        <w:t xml:space="preserve"> to be voted in line with the designee identified or pursuant to a voting agreement related to the equity securities the Security is converted into. For example, if the Securities are converted in connection with an offering of Series B Preferred Stock, Investors would directly or beneficially receive securities in the form of shares of Series B-CF Preferred Stock and such shares would be required to be subject to the terms of the Securities that allows a designee to vote their shares of Series B-CF Preferred Stock consistent with the terms of the Security. Thus, Investors will essentially never be able to vote upon any matters of the </w:t>
      </w:r>
      <w:r w:rsidR="00571237">
        <w:rPr>
          <w:b w:val="0"/>
        </w:rPr>
        <w:t>Issuer</w:t>
      </w:r>
      <w:r w:rsidRPr="00BD59DC">
        <w:rPr>
          <w:b w:val="0"/>
        </w:rPr>
        <w:t xml:space="preserve"> unless otherwise provided for by the </w:t>
      </w:r>
      <w:r w:rsidR="00571237">
        <w:rPr>
          <w:b w:val="0"/>
        </w:rPr>
        <w:t>Issuer</w:t>
      </w:r>
      <w:r w:rsidRPr="00BD59DC">
        <w:rPr>
          <w:b w:val="0"/>
        </w:rPr>
        <w:t>.</w:t>
      </w:r>
      <w:bookmarkEnd w:id="24"/>
    </w:p>
    <w:p w14:paraId="47690219" w14:textId="77777777" w:rsidR="00DC0ACF" w:rsidRDefault="00DC0ACF" w:rsidP="00DC0ACF">
      <w:pPr>
        <w:rPr>
          <w:b/>
          <w:bCs/>
          <w:i/>
          <w:iCs/>
        </w:rPr>
      </w:pPr>
    </w:p>
    <w:p w14:paraId="228261E9" w14:textId="77777777" w:rsidR="00DC0ACF" w:rsidRPr="0063792C" w:rsidRDefault="00DC0ACF" w:rsidP="00DC0ACF">
      <w:pPr>
        <w:rPr>
          <w:b/>
          <w:bCs/>
          <w:i/>
          <w:iCs/>
        </w:rPr>
      </w:pPr>
      <w:r w:rsidRPr="0063792C">
        <w:rPr>
          <w:b/>
          <w:bCs/>
          <w:i/>
          <w:iCs/>
        </w:rPr>
        <w:t>Investors will not be entitled to any inspection or information rights other than those required by law.</w:t>
      </w:r>
    </w:p>
    <w:p w14:paraId="7EF2DF8A" w14:textId="77777777" w:rsidR="00DC0ACF" w:rsidRPr="0063792C" w:rsidRDefault="00DC0ACF" w:rsidP="00DC0ACF">
      <w:pPr>
        <w:rPr>
          <w:b/>
        </w:rPr>
      </w:pPr>
    </w:p>
    <w:p w14:paraId="46769E4E" w14:textId="67C2C304" w:rsidR="00DC0ACF" w:rsidRPr="0063792C" w:rsidRDefault="00DC0ACF" w:rsidP="00DC0ACF">
      <w:pPr>
        <w:rPr>
          <w:bCs/>
          <w:highlight w:val="yellow"/>
        </w:rPr>
      </w:pPr>
      <w:r w:rsidRPr="0063792C">
        <w:rPr>
          <w:bCs/>
        </w:rPr>
        <w:t xml:space="preserve">Investors will not have the right to inspect the books and records of the </w:t>
      </w:r>
      <w:r w:rsidR="00571237">
        <w:rPr>
          <w:bCs/>
        </w:rPr>
        <w:t xml:space="preserve">Issuer </w:t>
      </w:r>
      <w:r w:rsidRPr="0063792C">
        <w:rPr>
          <w:bCs/>
        </w:rPr>
        <w:t xml:space="preserve">or to receive financial or other information from the </w:t>
      </w:r>
      <w:r w:rsidR="00571237">
        <w:rPr>
          <w:bCs/>
        </w:rPr>
        <w:t>Issuer</w:t>
      </w:r>
      <w:r w:rsidRPr="0063792C">
        <w:rPr>
          <w:bCs/>
        </w:rPr>
        <w:t xml:space="preserve">, other than as required by law. Other security holders of the </w:t>
      </w:r>
      <w:r w:rsidR="00571237">
        <w:rPr>
          <w:bCs/>
        </w:rPr>
        <w:t>Issuer</w:t>
      </w:r>
      <w:r w:rsidRPr="0063792C">
        <w:rPr>
          <w:bCs/>
        </w:rPr>
        <w:t xml:space="preserve"> may have such rights. Regulation CF requires only the provision of an annual report on Form C and no additional information. Additionally, there are numerous methods by which the </w:t>
      </w:r>
      <w:r w:rsidR="00571237">
        <w:rPr>
          <w:bCs/>
        </w:rPr>
        <w:t>Issuer</w:t>
      </w:r>
      <w:r w:rsidRPr="0063792C">
        <w:rPr>
          <w:bCs/>
        </w:rPr>
        <w:t xml:space="preserve"> can terminate annual report obligations, resulting in no information rights, contractual, statutory or otherwise, owed to Investors. This lack of information could put Investors at a disadvantage in general and with respect to other security holders, including certain security holders who have rights to periodic financial statements and updates from the </w:t>
      </w:r>
      <w:r w:rsidR="00571237">
        <w:rPr>
          <w:bCs/>
        </w:rPr>
        <w:t>Issuer</w:t>
      </w:r>
      <w:r w:rsidRPr="0063792C">
        <w:rPr>
          <w:bCs/>
        </w:rPr>
        <w:t xml:space="preserve"> such as quarterly unaudited financials, annual projections and budgets, and monthly progress reports, among other things.</w:t>
      </w:r>
    </w:p>
    <w:p w14:paraId="4FA3E2D6" w14:textId="77777777" w:rsidR="00DC0ACF" w:rsidRPr="0063792C" w:rsidRDefault="00DC0ACF" w:rsidP="00DC0ACF">
      <w:pPr>
        <w:rPr>
          <w:highlight w:val="yellow"/>
        </w:rPr>
      </w:pPr>
    </w:p>
    <w:p w14:paraId="5D42170A" w14:textId="35C069C3" w:rsidR="00DC0ACF" w:rsidRPr="0063792C" w:rsidRDefault="00DC0ACF" w:rsidP="00DC0ACF">
      <w:pPr>
        <w:rPr>
          <w:b/>
          <w:bCs/>
          <w:i/>
          <w:iCs/>
        </w:rPr>
      </w:pPr>
      <w:r w:rsidRPr="0063792C">
        <w:rPr>
          <w:b/>
          <w:bCs/>
          <w:i/>
          <w:iCs/>
        </w:rPr>
        <w:t>Investors will be unable to declare the Security in “default” and demand repayment.</w:t>
      </w:r>
    </w:p>
    <w:p w14:paraId="4B7AB8AB" w14:textId="77777777" w:rsidR="00DC0ACF" w:rsidRPr="0063792C" w:rsidRDefault="00DC0ACF" w:rsidP="00DC0ACF">
      <w:pPr>
        <w:rPr>
          <w:b/>
        </w:rPr>
      </w:pPr>
    </w:p>
    <w:p w14:paraId="3E0B5063" w14:textId="28AF9525" w:rsidR="00DC0ACF" w:rsidRPr="0063792C" w:rsidRDefault="00DC0ACF" w:rsidP="00DC0ACF">
      <w:pPr>
        <w:rPr>
          <w:bCs/>
        </w:rPr>
      </w:pPr>
      <w:r w:rsidRPr="0063792C">
        <w:rPr>
          <w:bCs/>
        </w:rPr>
        <w:t xml:space="preserve">Unlike convertible notes and some other securities, the Securities do not have any “default” provisions upon which Investors will be able to demand repayment of their investment. The </w:t>
      </w:r>
      <w:r w:rsidR="00571237">
        <w:rPr>
          <w:bCs/>
        </w:rPr>
        <w:t>Issuer</w:t>
      </w:r>
      <w:r w:rsidRPr="0063792C">
        <w:rPr>
          <w:bCs/>
        </w:rPr>
        <w:t xml:space="preserve"> has ultimate discretion as to whether or not to convert the Securities upon a future equity financing and Investors have no right to demand such conversion. Only in limited circumstances, such as a liquidity event, may Investors demand payment and even then, such payments will be limited to the amount of cash available to the </w:t>
      </w:r>
      <w:r w:rsidR="00571237">
        <w:rPr>
          <w:bCs/>
        </w:rPr>
        <w:t>Issuer</w:t>
      </w:r>
      <w:r w:rsidRPr="0063792C">
        <w:rPr>
          <w:bCs/>
        </w:rPr>
        <w:t>.</w:t>
      </w:r>
    </w:p>
    <w:p w14:paraId="5317BEC1" w14:textId="77777777" w:rsidR="00DC0ACF" w:rsidRDefault="00DC0ACF" w:rsidP="00DC0ACF">
      <w:pPr>
        <w:rPr>
          <w:b/>
          <w:bCs/>
          <w:i/>
          <w:iCs/>
        </w:rPr>
      </w:pPr>
    </w:p>
    <w:p w14:paraId="50FDD551" w14:textId="1EA42F42" w:rsidR="00DC0ACF" w:rsidRPr="0063792C" w:rsidRDefault="00DC0ACF" w:rsidP="00DC0ACF">
      <w:pPr>
        <w:rPr>
          <w:b/>
          <w:bCs/>
          <w:i/>
          <w:iCs/>
        </w:rPr>
      </w:pPr>
      <w:r w:rsidRPr="0063792C">
        <w:rPr>
          <w:b/>
          <w:bCs/>
          <w:i/>
          <w:iCs/>
        </w:rPr>
        <w:t xml:space="preserve">The </w:t>
      </w:r>
      <w:r w:rsidR="00571237">
        <w:rPr>
          <w:b/>
          <w:bCs/>
          <w:i/>
          <w:iCs/>
        </w:rPr>
        <w:t>Issuer</w:t>
      </w:r>
      <w:r w:rsidRPr="0063792C">
        <w:rPr>
          <w:b/>
          <w:bCs/>
          <w:i/>
          <w:iCs/>
        </w:rPr>
        <w:t xml:space="preserve"> may never </w:t>
      </w:r>
      <w:r w:rsidR="00896AD3">
        <w:rPr>
          <w:b/>
          <w:bCs/>
          <w:i/>
          <w:iCs/>
        </w:rPr>
        <w:t xml:space="preserve">undergo an equity financing or </w:t>
      </w:r>
      <w:r w:rsidRPr="0063792C">
        <w:rPr>
          <w:b/>
          <w:bCs/>
          <w:i/>
          <w:iCs/>
        </w:rPr>
        <w:t>a liquidity event</w:t>
      </w:r>
      <w:r>
        <w:rPr>
          <w:b/>
          <w:bCs/>
          <w:i/>
          <w:iCs/>
        </w:rPr>
        <w:t xml:space="preserve"> and Investors may have to hold the Securities indefinitely.</w:t>
      </w:r>
    </w:p>
    <w:p w14:paraId="34ED7126" w14:textId="77777777" w:rsidR="00DC0ACF" w:rsidRPr="0063792C" w:rsidRDefault="00DC0ACF" w:rsidP="00DC0ACF">
      <w:pPr>
        <w:rPr>
          <w:b/>
        </w:rPr>
      </w:pPr>
    </w:p>
    <w:p w14:paraId="141A87CA" w14:textId="64BA27D0" w:rsidR="00DC0ACF" w:rsidRPr="0063792C" w:rsidRDefault="00DC0ACF" w:rsidP="00DC0ACF">
      <w:pPr>
        <w:rPr>
          <w:bCs/>
        </w:rPr>
      </w:pPr>
      <w:r w:rsidRPr="0063792C">
        <w:rPr>
          <w:bCs/>
        </w:rPr>
        <w:t xml:space="preserve">The </w:t>
      </w:r>
      <w:r w:rsidR="00571237">
        <w:rPr>
          <w:bCs/>
        </w:rPr>
        <w:t>Issuer</w:t>
      </w:r>
      <w:r w:rsidRPr="0063792C">
        <w:rPr>
          <w:bCs/>
        </w:rPr>
        <w:t xml:space="preserve"> may never</w:t>
      </w:r>
      <w:r>
        <w:rPr>
          <w:bCs/>
        </w:rPr>
        <w:t xml:space="preserve"> conduct</w:t>
      </w:r>
      <w:r w:rsidRPr="0063792C">
        <w:rPr>
          <w:bCs/>
        </w:rPr>
        <w:t xml:space="preserve"> a future equity financing. In addition, the </w:t>
      </w:r>
      <w:r w:rsidR="00571237">
        <w:rPr>
          <w:bCs/>
        </w:rPr>
        <w:t>Issuer</w:t>
      </w:r>
      <w:r w:rsidRPr="0063792C">
        <w:rPr>
          <w:bCs/>
        </w:rPr>
        <w:t xml:space="preserve"> may never undergo a liquidity event such as a sale of the </w:t>
      </w:r>
      <w:r w:rsidR="00571237">
        <w:rPr>
          <w:bCs/>
        </w:rPr>
        <w:t>Issuer</w:t>
      </w:r>
      <w:r w:rsidRPr="0063792C">
        <w:rPr>
          <w:bCs/>
        </w:rPr>
        <w:t xml:space="preserve"> or an initial public offering. If neither </w:t>
      </w:r>
      <w:r w:rsidR="00896AD3">
        <w:rPr>
          <w:bCs/>
        </w:rPr>
        <w:t>an equity financing</w:t>
      </w:r>
      <w:r w:rsidRPr="0063792C">
        <w:rPr>
          <w:bCs/>
        </w:rPr>
        <w:t xml:space="preserve"> nor a liquidity event occurs, Investors could be left holding the Securities in perpetuity. The Securities have numerous transfer restrictions and will likely be highly illiquid, with no secondary market on which to sell them.</w:t>
      </w:r>
      <w:r>
        <w:rPr>
          <w:bCs/>
        </w:rPr>
        <w:t xml:space="preserve">  If a transfer, resale, assignment or distribution of the Security should occur prior to the conversion of the Security or after, if the Security is still held by the original purchaser directly, the transferee, purchaser, assignee or distribute, as relevant, will be required to sign a new </w:t>
      </w:r>
      <w:r w:rsidR="00896AD3" w:rsidRPr="001F41AE">
        <w:rPr>
          <w:bCs/>
        </w:rPr>
        <w:t>Omnibus Nominee Trust Agreement (as defined in the Security)</w:t>
      </w:r>
      <w:r>
        <w:rPr>
          <w:bCs/>
        </w:rPr>
        <w:t xml:space="preserve">. </w:t>
      </w:r>
      <w:r w:rsidRPr="0063792C">
        <w:rPr>
          <w:bCs/>
        </w:rPr>
        <w:t xml:space="preserve">The Securities are not equity interests, have no ownership rights, have no rights to the </w:t>
      </w:r>
      <w:r w:rsidR="00571237">
        <w:rPr>
          <w:bCs/>
        </w:rPr>
        <w:t>Issuer</w:t>
      </w:r>
      <w:r w:rsidRPr="0063792C">
        <w:rPr>
          <w:bCs/>
        </w:rPr>
        <w:t xml:space="preserve">’s assets or profits and have no voting rights or ability to direct the </w:t>
      </w:r>
      <w:r w:rsidR="00571237">
        <w:rPr>
          <w:bCs/>
        </w:rPr>
        <w:t>Issuer</w:t>
      </w:r>
      <w:r w:rsidRPr="0063792C">
        <w:rPr>
          <w:bCs/>
        </w:rPr>
        <w:t xml:space="preserve"> or its actions.</w:t>
      </w:r>
    </w:p>
    <w:p w14:paraId="58D800B6" w14:textId="77777777" w:rsidR="00DC0ACF" w:rsidRPr="0063792C" w:rsidRDefault="00DC0ACF" w:rsidP="00DC0ACF">
      <w:pPr>
        <w:rPr>
          <w:bCs/>
        </w:rPr>
      </w:pPr>
    </w:p>
    <w:p w14:paraId="27DFA134" w14:textId="77777777" w:rsidR="00DC0ACF" w:rsidRPr="0063792C" w:rsidRDefault="00DC0ACF" w:rsidP="00DC0ACF">
      <w:pPr>
        <w:rPr>
          <w:b/>
          <w:bCs/>
          <w:i/>
          <w:iCs/>
        </w:rPr>
      </w:pPr>
      <w:r>
        <w:rPr>
          <w:b/>
          <w:bCs/>
          <w:i/>
          <w:iCs/>
        </w:rPr>
        <w:t>Any e</w:t>
      </w:r>
      <w:r w:rsidRPr="0063792C">
        <w:rPr>
          <w:b/>
          <w:bCs/>
          <w:i/>
          <w:iCs/>
        </w:rPr>
        <w:t>quity securities acquired upon conversion of the Securities may be significantly diluted as a consequence of subsequent</w:t>
      </w:r>
      <w:r>
        <w:rPr>
          <w:b/>
          <w:bCs/>
          <w:i/>
          <w:iCs/>
        </w:rPr>
        <w:t xml:space="preserve"> equity</w:t>
      </w:r>
      <w:r w:rsidRPr="0063792C">
        <w:rPr>
          <w:b/>
          <w:bCs/>
          <w:i/>
          <w:iCs/>
        </w:rPr>
        <w:t xml:space="preserve"> financings.</w:t>
      </w:r>
    </w:p>
    <w:p w14:paraId="49380675" w14:textId="77777777" w:rsidR="00DC0ACF" w:rsidRPr="0063792C" w:rsidRDefault="00DC0ACF" w:rsidP="00DC0ACF">
      <w:pPr>
        <w:rPr>
          <w:b/>
          <w:bCs/>
        </w:rPr>
      </w:pPr>
    </w:p>
    <w:p w14:paraId="055C83AF" w14:textId="20BB0821" w:rsidR="00DC0ACF" w:rsidRPr="0063792C" w:rsidRDefault="00DC0ACF" w:rsidP="00DC0ACF">
      <w:r w:rsidRPr="0063792C">
        <w:t xml:space="preserve">The </w:t>
      </w:r>
      <w:r w:rsidR="00571237">
        <w:rPr>
          <w:bCs/>
        </w:rPr>
        <w:t>Issuer</w:t>
      </w:r>
      <w:r w:rsidRPr="0063792C">
        <w:t xml:space="preserve">’s equity securities will be subject to dilution. The </w:t>
      </w:r>
      <w:r w:rsidR="00571237">
        <w:rPr>
          <w:bCs/>
        </w:rPr>
        <w:t>Issuer</w:t>
      </w:r>
      <w:r w:rsidRPr="0063792C">
        <w:t xml:space="preserve"> intends to issue additional equity to employees and third-party financing sources in amounts that are uncertain at this time, and as a consequence holders of equity securities resulting from the conversion of the Securities will be subject to dilution in an unpredictable amount. Such dilution may reduce the Investor’s control and economic interests in the </w:t>
      </w:r>
      <w:r w:rsidR="00571237">
        <w:rPr>
          <w:bCs/>
        </w:rPr>
        <w:t>Issuer</w:t>
      </w:r>
      <w:r w:rsidRPr="0063792C">
        <w:t>.</w:t>
      </w:r>
    </w:p>
    <w:p w14:paraId="4934877F" w14:textId="77777777" w:rsidR="00DC0ACF" w:rsidRPr="0063792C" w:rsidRDefault="00DC0ACF" w:rsidP="00DC0ACF"/>
    <w:p w14:paraId="7F3EF271" w14:textId="0313FD5E" w:rsidR="00DC0ACF" w:rsidRPr="0063792C" w:rsidRDefault="00DC0ACF" w:rsidP="00DC0ACF">
      <w:r w:rsidRPr="0063792C">
        <w:t xml:space="preserve">The amount of additional financing needed by the </w:t>
      </w:r>
      <w:r w:rsidR="00571237">
        <w:rPr>
          <w:bCs/>
        </w:rPr>
        <w:t>Issuer</w:t>
      </w:r>
      <w:r w:rsidRPr="0063792C">
        <w:t xml:space="preserve"> will depend upon several contingencies not foreseen at the time of this Offering. Generally, additional financing (whether in the form of loans or the issuance of other securities) will be intended to provide the </w:t>
      </w:r>
      <w:r w:rsidR="00571237">
        <w:rPr>
          <w:bCs/>
        </w:rPr>
        <w:t>Issuer</w:t>
      </w:r>
      <w:r w:rsidRPr="0063792C">
        <w:t xml:space="preserve"> with enough capital to reach the next major corporate milestone. If the funds received in any additional financing are not sufficient to meet the </w:t>
      </w:r>
      <w:r w:rsidR="00571237">
        <w:rPr>
          <w:bCs/>
        </w:rPr>
        <w:t>Issuer</w:t>
      </w:r>
      <w:r w:rsidRPr="0063792C">
        <w:t xml:space="preserve">’s needs, the </w:t>
      </w:r>
      <w:r w:rsidR="00571237">
        <w:rPr>
          <w:bCs/>
        </w:rPr>
        <w:t>Issuer</w:t>
      </w:r>
      <w:r w:rsidRPr="0063792C">
        <w:t xml:space="preserve"> may have to raise additional capital at a price unfavorable to their existing investors, including the holders of the Securities. The availability of capital is at least partially a function of capital market conditions that are beyond the control of the </w:t>
      </w:r>
      <w:r w:rsidR="00B22284">
        <w:t>Issuer</w:t>
      </w:r>
      <w:r w:rsidRPr="0063792C">
        <w:t xml:space="preserve">. There can be no assurance that the </w:t>
      </w:r>
      <w:r w:rsidR="00571237">
        <w:rPr>
          <w:bCs/>
        </w:rPr>
        <w:t>Issuer</w:t>
      </w:r>
      <w:r w:rsidRPr="0063792C">
        <w:t xml:space="preserve"> will be able to accurately predict the future capital requirements necessary for success </w:t>
      </w:r>
      <w:r w:rsidRPr="0063792C">
        <w:lastRenderedPageBreak/>
        <w:t>or that additional funds will be available from any source. Failure to obtain financing on favorable terms could dilute or otherwise severely impair the value of the Securities.</w:t>
      </w:r>
    </w:p>
    <w:p w14:paraId="2CE7DB0E" w14:textId="77777777" w:rsidR="00DC0ACF" w:rsidRPr="0063792C" w:rsidRDefault="00DC0ACF" w:rsidP="00DC0ACF"/>
    <w:p w14:paraId="55CB6141" w14:textId="78C571EB" w:rsidR="00DC0ACF" w:rsidRPr="0063792C" w:rsidRDefault="00DC0ACF" w:rsidP="00DC0ACF">
      <w:r w:rsidRPr="0029799F">
        <w:t xml:space="preserve">In addition, the </w:t>
      </w:r>
      <w:r w:rsidR="00B22284" w:rsidRPr="0029799F">
        <w:t>Issuer</w:t>
      </w:r>
      <w:r w:rsidRPr="0029799F">
        <w:t xml:space="preserve"> has certain equity grants and convertible securities outstanding. Should the </w:t>
      </w:r>
      <w:r w:rsidR="00B22284" w:rsidRPr="0029799F">
        <w:t>Issuer</w:t>
      </w:r>
      <w:r w:rsidRPr="0029799F">
        <w:t xml:space="preserve"> enter into a financing that would trigger any conversion rights, the converting securities would further dilute the equity securities receivable by the holders of the Securities upon a qualifying financing.</w:t>
      </w:r>
    </w:p>
    <w:p w14:paraId="765EEB27" w14:textId="77777777" w:rsidR="00DC0ACF" w:rsidRPr="0063792C" w:rsidRDefault="00DC0ACF" w:rsidP="00DC0ACF">
      <w:pPr>
        <w:rPr>
          <w:b/>
          <w:bCs/>
        </w:rPr>
      </w:pPr>
    </w:p>
    <w:p w14:paraId="327030A1" w14:textId="08839652" w:rsidR="00DC0ACF" w:rsidRPr="0063792C" w:rsidRDefault="00DC0ACF" w:rsidP="00DC0ACF">
      <w:pPr>
        <w:rPr>
          <w:b/>
          <w:bCs/>
          <w:i/>
          <w:iCs/>
        </w:rPr>
      </w:pPr>
      <w:r>
        <w:rPr>
          <w:b/>
          <w:bCs/>
          <w:i/>
          <w:iCs/>
        </w:rPr>
        <w:t>Any e</w:t>
      </w:r>
      <w:r w:rsidRPr="0063792C">
        <w:rPr>
          <w:b/>
          <w:bCs/>
          <w:i/>
          <w:iCs/>
        </w:rPr>
        <w:t xml:space="preserve">quity securities issued upon conversion of the Securities may be substantially different from other equity securities offered or issued by the </w:t>
      </w:r>
      <w:r w:rsidR="00571237">
        <w:rPr>
          <w:b/>
          <w:bCs/>
          <w:i/>
          <w:iCs/>
        </w:rPr>
        <w:t>I</w:t>
      </w:r>
      <w:r w:rsidR="00627DB3">
        <w:rPr>
          <w:b/>
          <w:bCs/>
          <w:i/>
          <w:iCs/>
        </w:rPr>
        <w:t>ssuer</w:t>
      </w:r>
      <w:r w:rsidRPr="0063792C">
        <w:rPr>
          <w:b/>
          <w:bCs/>
          <w:i/>
          <w:iCs/>
        </w:rPr>
        <w:t xml:space="preserve"> at the time of conversion.</w:t>
      </w:r>
    </w:p>
    <w:p w14:paraId="150654E7" w14:textId="77777777" w:rsidR="00DC0ACF" w:rsidRPr="0063792C" w:rsidRDefault="00DC0ACF" w:rsidP="00DC0ACF">
      <w:pPr>
        <w:rPr>
          <w:b/>
          <w:bCs/>
        </w:rPr>
      </w:pPr>
    </w:p>
    <w:p w14:paraId="2EF3CF2D" w14:textId="045BABDB" w:rsidR="00DC0ACF" w:rsidRPr="0063792C" w:rsidRDefault="00DC0ACF" w:rsidP="00DC0ACF">
      <w:r w:rsidRPr="0063792C">
        <w:t xml:space="preserve">In the event </w:t>
      </w:r>
      <w:r w:rsidR="00896AD3">
        <w:t>a conversion occurs</w:t>
      </w:r>
      <w:r w:rsidRPr="0063792C">
        <w:t xml:space="preserve">, the </w:t>
      </w:r>
      <w:r w:rsidR="00571237">
        <w:rPr>
          <w:bCs/>
        </w:rPr>
        <w:t>Issuer</w:t>
      </w:r>
      <w:r w:rsidRPr="0063792C">
        <w:t xml:space="preserve"> will convert the Securities into equity securities that are materially different from the equity securities being issued to new investors at the time of conversion in many ways, including, but not limited to, liquidation preferences, dividend rights, or anti-dilution protection. Additionally, any equity securities issued at the </w:t>
      </w:r>
      <w:r w:rsidR="00896AD3">
        <w:t xml:space="preserve">Conversion </w:t>
      </w:r>
      <w:r w:rsidRPr="0063792C">
        <w:t xml:space="preserve">Price (as defined in the SAFE agreement) shall have only such preferences, rights, and protections in proportion to </w:t>
      </w:r>
      <w:r w:rsidR="00896AD3">
        <w:t>Conversion</w:t>
      </w:r>
      <w:r w:rsidR="0029799F">
        <w:t xml:space="preserve"> </w:t>
      </w:r>
      <w:r w:rsidRPr="0063792C">
        <w:t xml:space="preserve">Price and not in proportion to the price per share paid by new investors receiving the equity securities. Upon conversion of the Securities, the </w:t>
      </w:r>
      <w:r w:rsidR="00571237">
        <w:rPr>
          <w:bCs/>
        </w:rPr>
        <w:t>Issuer</w:t>
      </w:r>
      <w:r w:rsidRPr="0063792C">
        <w:t xml:space="preserve"> may not provide the holders of such Securities with the same rights, preferences, protections, and other benefits or privileges provided to other investors of the </w:t>
      </w:r>
      <w:r w:rsidR="00571237">
        <w:rPr>
          <w:bCs/>
        </w:rPr>
        <w:t>Issuer</w:t>
      </w:r>
      <w:r w:rsidRPr="0063792C">
        <w:t>.</w:t>
      </w:r>
    </w:p>
    <w:p w14:paraId="5A5FC019" w14:textId="77777777" w:rsidR="00DC0ACF" w:rsidRPr="0063792C" w:rsidRDefault="00DC0ACF" w:rsidP="00DC0ACF"/>
    <w:p w14:paraId="26595540" w14:textId="6983402B" w:rsidR="00DC0ACF" w:rsidRPr="0063792C" w:rsidRDefault="00DC0ACF" w:rsidP="00DC0ACF">
      <w:r w:rsidRPr="0063792C">
        <w:t xml:space="preserve">The forgoing paragraph is only a summary of a portion of the conversion feature of the Securities; it is not intended to be complete, and is qualified in its entirety by reference to the full text of the SAFE agreement, which is attached as </w:t>
      </w:r>
      <w:r w:rsidRPr="00485FB0">
        <w:rPr>
          <w:u w:val="single"/>
        </w:rPr>
        <w:t xml:space="preserve">Exhibit </w:t>
      </w:r>
      <w:r>
        <w:rPr>
          <w:u w:val="single"/>
        </w:rPr>
        <w:t>B</w:t>
      </w:r>
      <w:r w:rsidRPr="0063792C">
        <w:t>.</w:t>
      </w:r>
    </w:p>
    <w:p w14:paraId="4C284DBE" w14:textId="77777777" w:rsidR="00DC0ACF" w:rsidRDefault="00DC0ACF" w:rsidP="00DC0ACF">
      <w:pPr>
        <w:rPr>
          <w:b/>
          <w:bCs/>
          <w:i/>
          <w:iCs/>
        </w:rPr>
      </w:pPr>
    </w:p>
    <w:p w14:paraId="413B5587" w14:textId="77777777" w:rsidR="00DC0ACF" w:rsidRPr="0063792C" w:rsidRDefault="00DC0ACF" w:rsidP="00DC0ACF">
      <w:pPr>
        <w:rPr>
          <w:b/>
          <w:bCs/>
          <w:i/>
          <w:iCs/>
        </w:rPr>
      </w:pPr>
      <w:r w:rsidRPr="0063792C">
        <w:rPr>
          <w:b/>
          <w:bCs/>
          <w:i/>
          <w:iCs/>
        </w:rPr>
        <w:t>There is no present market for the Securities and we have arbitrarily set the price.</w:t>
      </w:r>
    </w:p>
    <w:p w14:paraId="1C4CFE47" w14:textId="77777777" w:rsidR="00DC0ACF" w:rsidRPr="0063792C" w:rsidRDefault="00DC0ACF" w:rsidP="00DC0ACF">
      <w:pPr>
        <w:rPr>
          <w:b/>
          <w:bCs/>
        </w:rPr>
      </w:pPr>
    </w:p>
    <w:p w14:paraId="50C3A24A" w14:textId="55258B4B" w:rsidR="00DC0ACF" w:rsidRPr="0063792C" w:rsidRDefault="00DC0ACF" w:rsidP="00DC0ACF">
      <w:r w:rsidRPr="0063792C">
        <w:t xml:space="preserve">The </w:t>
      </w:r>
      <w:r w:rsidR="00416EB0">
        <w:t>o</w:t>
      </w:r>
      <w:r w:rsidRPr="0063792C">
        <w:t xml:space="preserve">ffering price was not established in a competitive market. We have arbitrarily set the price of the Securities with reference to the general status of the securities market and other relevant factors. The </w:t>
      </w:r>
      <w:r w:rsidR="00416EB0">
        <w:t>o</w:t>
      </w:r>
      <w:r w:rsidRPr="0063792C">
        <w:t xml:space="preserve">ffering price for the Securities should not be considered an indication of the actual value of the Securities and is not based </w:t>
      </w:r>
      <w:r>
        <w:t xml:space="preserve">on our </w:t>
      </w:r>
      <w:r w:rsidRPr="000C7856">
        <w:t>asset value, net worth, revenues or other established criteria of value</w:t>
      </w:r>
      <w:r w:rsidRPr="0063792C">
        <w:t xml:space="preserve">. We cannot guarantee that the Securities can be resold at the </w:t>
      </w:r>
      <w:r w:rsidR="00416EB0">
        <w:t>o</w:t>
      </w:r>
      <w:r w:rsidRPr="0063792C">
        <w:t>ffering price or at any other price.</w:t>
      </w:r>
    </w:p>
    <w:p w14:paraId="7C35C912" w14:textId="77777777" w:rsidR="00DC0ACF" w:rsidRDefault="00DC0ACF" w:rsidP="00DC0ACF">
      <w:pPr>
        <w:rPr>
          <w:b/>
          <w:bCs/>
          <w:i/>
          <w:iCs/>
        </w:rPr>
      </w:pPr>
    </w:p>
    <w:p w14:paraId="366FAFBA" w14:textId="194E6CF3" w:rsidR="00DC0ACF" w:rsidRPr="0063792C" w:rsidRDefault="00DC0ACF" w:rsidP="00DC0ACF">
      <w:pPr>
        <w:rPr>
          <w:b/>
          <w:bCs/>
          <w:i/>
          <w:iCs/>
        </w:rPr>
      </w:pPr>
      <w:r w:rsidRPr="0063792C">
        <w:rPr>
          <w:b/>
          <w:bCs/>
          <w:i/>
          <w:iCs/>
        </w:rPr>
        <w:t xml:space="preserve">In the event of the dissolution or bankruptcy of the </w:t>
      </w:r>
      <w:r w:rsidR="00416EB0">
        <w:rPr>
          <w:b/>
          <w:bCs/>
          <w:i/>
          <w:iCs/>
        </w:rPr>
        <w:t>Issuer</w:t>
      </w:r>
      <w:r w:rsidRPr="0063792C">
        <w:rPr>
          <w:b/>
          <w:bCs/>
          <w:i/>
          <w:iCs/>
        </w:rPr>
        <w:t>, Investors will not be treated as debt holders and therefore are unlikely to recover any proceeds.</w:t>
      </w:r>
    </w:p>
    <w:p w14:paraId="75B53388" w14:textId="77777777" w:rsidR="00DC0ACF" w:rsidRPr="0063792C" w:rsidRDefault="00DC0ACF" w:rsidP="00DC0ACF">
      <w:pPr>
        <w:rPr>
          <w:b/>
          <w:bCs/>
        </w:rPr>
      </w:pPr>
    </w:p>
    <w:p w14:paraId="4386D4C1" w14:textId="089ADCAB" w:rsidR="00DC0ACF" w:rsidRPr="0063792C" w:rsidRDefault="00DC0ACF" w:rsidP="00DC0ACF">
      <w:r w:rsidRPr="0063792C">
        <w:t xml:space="preserve">In the event of the dissolution or bankruptcy of the </w:t>
      </w:r>
      <w:r w:rsidR="00416EB0">
        <w:rPr>
          <w:bCs/>
        </w:rPr>
        <w:t>Issuer</w:t>
      </w:r>
      <w:r w:rsidRPr="0063792C">
        <w:t xml:space="preserve">, the holders of the Securities that have not been converted will be entitled to distributions as described in the </w:t>
      </w:r>
      <w:r>
        <w:t>Securities</w:t>
      </w:r>
      <w:r w:rsidRPr="0063792C">
        <w:t>. This means that such holders will only receive distributions once all of the creditors and more senior security holders, including any holders of preferred stock, have been paid in full. N</w:t>
      </w:r>
      <w:r>
        <w:t xml:space="preserve">o </w:t>
      </w:r>
      <w:r w:rsidRPr="0063792C">
        <w:t xml:space="preserve">holders of </w:t>
      </w:r>
      <w:r>
        <w:t xml:space="preserve">any of </w:t>
      </w:r>
      <w:r w:rsidRPr="0063792C">
        <w:t xml:space="preserve">the Securities can be guaranteed any proceeds in the event of the dissolution or bankruptcy of the </w:t>
      </w:r>
      <w:r w:rsidR="00416EB0">
        <w:rPr>
          <w:bCs/>
        </w:rPr>
        <w:t>Issuer</w:t>
      </w:r>
      <w:r w:rsidRPr="0063792C">
        <w:t>.</w:t>
      </w:r>
    </w:p>
    <w:p w14:paraId="269CBCC4" w14:textId="77777777" w:rsidR="00DC0ACF" w:rsidRPr="0063792C" w:rsidRDefault="00DC0ACF" w:rsidP="00DC0ACF">
      <w:pPr>
        <w:rPr>
          <w:b/>
          <w:bCs/>
        </w:rPr>
      </w:pPr>
    </w:p>
    <w:p w14:paraId="66027E12" w14:textId="63A701E8" w:rsidR="00DC0ACF" w:rsidRPr="0063792C" w:rsidRDefault="00DC0ACF" w:rsidP="00DC0ACF">
      <w:pPr>
        <w:rPr>
          <w:b/>
          <w:bCs/>
          <w:i/>
          <w:iCs/>
        </w:rPr>
      </w:pPr>
      <w:r w:rsidRPr="0063792C">
        <w:rPr>
          <w:b/>
          <w:bCs/>
          <w:i/>
          <w:iCs/>
        </w:rPr>
        <w:t xml:space="preserve">While the Securities provide mechanisms whereby holders of the Securities would be entitled to a return of their </w:t>
      </w:r>
      <w:r w:rsidR="00487BF8">
        <w:rPr>
          <w:b/>
          <w:bCs/>
          <w:i/>
          <w:iCs/>
        </w:rPr>
        <w:t>purchase</w:t>
      </w:r>
      <w:r w:rsidR="00BC5133">
        <w:rPr>
          <w:b/>
          <w:bCs/>
          <w:i/>
          <w:iCs/>
        </w:rPr>
        <w:t xml:space="preserve"> amount</w:t>
      </w:r>
      <w:r w:rsidRPr="0063792C">
        <w:rPr>
          <w:b/>
          <w:bCs/>
          <w:i/>
          <w:iCs/>
        </w:rPr>
        <w:t xml:space="preserve"> upon the occurrence of certain events, if the </w:t>
      </w:r>
      <w:r w:rsidR="00416EB0">
        <w:rPr>
          <w:b/>
          <w:bCs/>
          <w:i/>
          <w:iCs/>
        </w:rPr>
        <w:t>Issuer</w:t>
      </w:r>
      <w:r w:rsidRPr="0063792C">
        <w:rPr>
          <w:b/>
          <w:bCs/>
          <w:i/>
          <w:iCs/>
        </w:rPr>
        <w:t xml:space="preserve"> does not have sufficient cash on hand, this obligation may not be fulfilled.</w:t>
      </w:r>
    </w:p>
    <w:p w14:paraId="08AB74B3" w14:textId="77777777" w:rsidR="00DC0ACF" w:rsidRPr="0063792C" w:rsidRDefault="00DC0ACF" w:rsidP="00DC0ACF">
      <w:pPr>
        <w:rPr>
          <w:b/>
          <w:bCs/>
        </w:rPr>
      </w:pPr>
    </w:p>
    <w:p w14:paraId="34A8A9AE" w14:textId="00438DFF" w:rsidR="00DC0ACF" w:rsidRPr="0063792C" w:rsidRDefault="00DC0ACF" w:rsidP="00DC0ACF">
      <w:r w:rsidRPr="0063792C">
        <w:t xml:space="preserve">Upon the occurrence of certain events, as provided in the </w:t>
      </w:r>
      <w:r>
        <w:t>Securities</w:t>
      </w:r>
      <w:r w:rsidRPr="0063792C">
        <w:t xml:space="preserve">, holders of the Securities may be entitled to a return of the principal amount invested. Despite the contractual provisions in the </w:t>
      </w:r>
      <w:r>
        <w:t>Securities</w:t>
      </w:r>
      <w:r w:rsidRPr="0063792C">
        <w:t xml:space="preserve">, this right cannot be guaranteed if the </w:t>
      </w:r>
      <w:r w:rsidR="00416EB0">
        <w:rPr>
          <w:bCs/>
        </w:rPr>
        <w:t>Issuer</w:t>
      </w:r>
      <w:r w:rsidRPr="0063792C">
        <w:t xml:space="preserve"> does not have sufficient liquid assets on hand. Therefore, potential Investors should not assume a guaranteed return of their investment amount.</w:t>
      </w:r>
    </w:p>
    <w:p w14:paraId="458249F5" w14:textId="77777777" w:rsidR="00DC0ACF" w:rsidRPr="0063792C" w:rsidRDefault="00DC0ACF" w:rsidP="00DC0ACF">
      <w:pPr>
        <w:rPr>
          <w:i/>
          <w:iCs/>
        </w:rPr>
      </w:pPr>
    </w:p>
    <w:p w14:paraId="325C1C5D" w14:textId="1832DDC2" w:rsidR="00DC0ACF" w:rsidRPr="0063792C" w:rsidRDefault="00DC0ACF" w:rsidP="00DC0ACF">
      <w:pPr>
        <w:rPr>
          <w:b/>
          <w:bCs/>
          <w:i/>
          <w:iCs/>
        </w:rPr>
      </w:pPr>
      <w:r w:rsidRPr="0063792C">
        <w:rPr>
          <w:b/>
          <w:bCs/>
          <w:i/>
          <w:iCs/>
        </w:rPr>
        <w:t>There is no guarantee of a return on an Investor’s investment.</w:t>
      </w:r>
    </w:p>
    <w:p w14:paraId="12B8E5E4" w14:textId="77777777" w:rsidR="00DC0ACF" w:rsidRPr="0063792C" w:rsidRDefault="00DC0ACF" w:rsidP="00DC0ACF"/>
    <w:p w14:paraId="5A5827F4" w14:textId="77777777" w:rsidR="00DC0ACF" w:rsidRPr="0063792C" w:rsidRDefault="00DC0ACF" w:rsidP="00DC0ACF">
      <w:pPr>
        <w:rPr>
          <w:highlight w:val="yellow"/>
        </w:rPr>
      </w:pPr>
      <w:r w:rsidRPr="0063792C">
        <w:t>There is no assurance that an Investor will realize a return on their investment or that they will not lose their entire investment. For this reason, each Investor should read this Form C and all exhibits carefully and should consult with their attorney and business advisor prior to making any investment decision.</w:t>
      </w:r>
    </w:p>
    <w:p w14:paraId="0301AA77" w14:textId="77777777" w:rsidR="00DC0ACF" w:rsidRPr="0063792C" w:rsidRDefault="00DC0ACF" w:rsidP="00DC0ACF">
      <w:pPr>
        <w:rPr>
          <w:highlight w:val="yellow"/>
        </w:rPr>
      </w:pPr>
    </w:p>
    <w:p w14:paraId="71F53D24" w14:textId="77777777" w:rsidR="00DC0ACF" w:rsidRPr="0063792C" w:rsidRDefault="00DC0ACF" w:rsidP="00DC0ACF">
      <w:pPr>
        <w:pBdr>
          <w:top w:val="nil"/>
          <w:left w:val="nil"/>
          <w:bottom w:val="nil"/>
          <w:right w:val="nil"/>
          <w:between w:val="nil"/>
        </w:pBdr>
        <w:contextualSpacing/>
        <w:rPr>
          <w:b/>
          <w:bCs/>
          <w:highlight w:val="yellow"/>
        </w:rPr>
      </w:pPr>
      <w:r w:rsidRPr="0063792C">
        <w:rPr>
          <w:b/>
          <w:bCs/>
        </w:rPr>
        <w:t>IN ADDITION TO THE RISKS LISTED ABOVE, RISKS AND UNCERTAINTIES NOT PRESENTLY KNOWN, OR WHICH WE CONSIDER IMMATERIAL AS OF THE DATE OF THIS FORM C, MAY ALSO HAVE AN ADVERSE EFFECT ON OUR BUSINESS AND RESULT IN THE TOTAL LOSS OF YOUR INVESTMENT.</w:t>
      </w:r>
    </w:p>
    <w:p w14:paraId="68378AD5" w14:textId="77777777" w:rsidR="00DC0ACF" w:rsidRPr="0063792C" w:rsidRDefault="00DC0ACF" w:rsidP="00DC0ACF">
      <w:pPr>
        <w:rPr>
          <w:b/>
          <w:highlight w:val="yellow"/>
        </w:rPr>
      </w:pPr>
    </w:p>
    <w:p w14:paraId="35D60EC8" w14:textId="77777777" w:rsidR="00DC0ACF" w:rsidRPr="00CF1658" w:rsidRDefault="00DC0ACF" w:rsidP="00DC0ACF">
      <w:pPr>
        <w:jc w:val="center"/>
        <w:rPr>
          <w:bCs/>
        </w:rPr>
      </w:pPr>
      <w:r w:rsidRPr="00540D33">
        <w:rPr>
          <w:b/>
          <w:bCs/>
        </w:rPr>
        <w:lastRenderedPageBreak/>
        <w:t>BUSINESS</w:t>
      </w:r>
    </w:p>
    <w:p w14:paraId="7001DCBB" w14:textId="47FC33D7" w:rsidR="00DC0ACF" w:rsidRDefault="00DC0ACF" w:rsidP="00DC0ACF">
      <w:pPr>
        <w:rPr>
          <w:b/>
        </w:rPr>
      </w:pPr>
    </w:p>
    <w:p w14:paraId="75D7C76D" w14:textId="77777777" w:rsidR="001E366F" w:rsidRPr="0063792C" w:rsidRDefault="001E366F" w:rsidP="001E366F">
      <w:pPr>
        <w:pStyle w:val="Heading2"/>
      </w:pPr>
      <w:bookmarkStart w:id="25" w:name="_Toc103593647"/>
      <w:r w:rsidRPr="0063792C">
        <w:t>Description of the Business</w:t>
      </w:r>
      <w:bookmarkEnd w:id="25"/>
      <w:r w:rsidRPr="0063792C">
        <w:t xml:space="preserve"> </w:t>
      </w:r>
    </w:p>
    <w:p w14:paraId="315D93DA" w14:textId="6DFDD661" w:rsidR="001E366F" w:rsidRDefault="001E366F" w:rsidP="00DC0ACF">
      <w:pPr>
        <w:rPr>
          <w:b/>
        </w:rPr>
      </w:pPr>
    </w:p>
    <w:p w14:paraId="10AD0187" w14:textId="6CA2C0C0" w:rsidR="001E366F" w:rsidRPr="0063792C" w:rsidRDefault="00D6067A" w:rsidP="001E366F">
      <w:r w:rsidRPr="00BC5626">
        <w:t xml:space="preserve">StartGlobal, Inc. </w:t>
      </w:r>
      <w:r>
        <w:t xml:space="preserve">offers an all-in-one </w:t>
      </w:r>
      <w:r w:rsidR="0084138A">
        <w:t xml:space="preserve">business services </w:t>
      </w:r>
      <w:r>
        <w:t>platform that assist</w:t>
      </w:r>
      <w:r w:rsidR="0084138A">
        <w:t>s</w:t>
      </w:r>
      <w:r>
        <w:t xml:space="preserve"> entrepreneurs </w:t>
      </w:r>
      <w:r w:rsidR="0084138A">
        <w:t xml:space="preserve">in launching and managing businesses in the United States. The Issuer’s platform handles the complex and time-consuming administrative tasks required to establish a business, including incorporation, setting up a bank account, business address and phone provisioning, tax compliance and 409A initial valuation. </w:t>
      </w:r>
      <w:r>
        <w:t xml:space="preserve">We </w:t>
      </w:r>
      <w:r w:rsidR="0084138A">
        <w:t xml:space="preserve">also </w:t>
      </w:r>
      <w:r>
        <w:t>provide software for invoicing, payments, accounting, tax filing and state compliance filings.</w:t>
      </w:r>
    </w:p>
    <w:p w14:paraId="58205E66" w14:textId="77777777" w:rsidR="001E366F" w:rsidRPr="0063792C" w:rsidRDefault="001E366F" w:rsidP="001E366F"/>
    <w:p w14:paraId="6CD25E65" w14:textId="1F5A9AC3" w:rsidR="001E366F" w:rsidRPr="0063792C" w:rsidRDefault="00A4428F" w:rsidP="001E366F">
      <w:r>
        <w:t xml:space="preserve">The Issuer was originally formed on July 27, 2016 as Sieve, Inc. and </w:t>
      </w:r>
      <w:r w:rsidR="0084138A">
        <w:t xml:space="preserve">changed its name to </w:t>
      </w:r>
      <w:r>
        <w:t xml:space="preserve">StartGlobal, Inc. on </w:t>
      </w:r>
      <w:r w:rsidR="0084138A">
        <w:t>February 18, 2022</w:t>
      </w:r>
      <w:r>
        <w:t xml:space="preserve">. </w:t>
      </w:r>
      <w:r w:rsidR="001E366F" w:rsidRPr="0063792C">
        <w:t xml:space="preserve">The </w:t>
      </w:r>
      <w:r w:rsidR="00416EB0">
        <w:rPr>
          <w:bCs/>
        </w:rPr>
        <w:t>Issuer</w:t>
      </w:r>
      <w:r w:rsidR="001E366F" w:rsidRPr="0063792C">
        <w:t xml:space="preserve"> </w:t>
      </w:r>
      <w:r w:rsidR="00EB67C5">
        <w:t xml:space="preserve">is headquartered </w:t>
      </w:r>
      <w:r w:rsidR="001E366F" w:rsidRPr="0063792C">
        <w:t xml:space="preserve">in </w:t>
      </w:r>
      <w:r>
        <w:t xml:space="preserve">California. </w:t>
      </w:r>
      <w:r w:rsidR="00EB67C5">
        <w:t xml:space="preserve">The </w:t>
      </w:r>
      <w:r w:rsidR="00416EB0" w:rsidRPr="00A4428F">
        <w:rPr>
          <w:bCs/>
        </w:rPr>
        <w:t>Issuer</w:t>
      </w:r>
      <w:r w:rsidR="001E366F" w:rsidRPr="00A4428F">
        <w:t xml:space="preserve"> sells </w:t>
      </w:r>
      <w:r w:rsidR="00EB67C5" w:rsidRPr="00A4428F">
        <w:t xml:space="preserve">its </w:t>
      </w:r>
      <w:r w:rsidR="001E366F" w:rsidRPr="00A4428F">
        <w:t>products and services through the internet throughout the United States</w:t>
      </w:r>
      <w:r w:rsidRPr="00A4428F">
        <w:t xml:space="preserve"> </w:t>
      </w:r>
      <w:r w:rsidR="001E366F" w:rsidRPr="00A4428F">
        <w:t>and internationally.</w:t>
      </w:r>
    </w:p>
    <w:p w14:paraId="5D7C45BF" w14:textId="77777777" w:rsidR="001E366F" w:rsidRPr="0063792C" w:rsidRDefault="001E366F" w:rsidP="001E366F"/>
    <w:p w14:paraId="57C4C9F9" w14:textId="77777777" w:rsidR="00DC0ACF" w:rsidRPr="0063792C" w:rsidRDefault="00DC0ACF" w:rsidP="00DC0ACF">
      <w:pPr>
        <w:pStyle w:val="Heading2"/>
      </w:pPr>
      <w:bookmarkStart w:id="26" w:name="_Toc103593648"/>
      <w:r w:rsidRPr="0063792C">
        <w:t>Business Plan</w:t>
      </w:r>
      <w:bookmarkEnd w:id="26"/>
      <w:r w:rsidRPr="0063792C">
        <w:t xml:space="preserve"> </w:t>
      </w:r>
    </w:p>
    <w:p w14:paraId="338527F4" w14:textId="77777777" w:rsidR="00DC0ACF" w:rsidRPr="0063792C" w:rsidRDefault="00DC0ACF" w:rsidP="00DC0ACF"/>
    <w:p w14:paraId="2C114243" w14:textId="21D11123" w:rsidR="00DC0ACF" w:rsidRDefault="00E8675F" w:rsidP="00E8675F">
      <w:pPr>
        <w:shd w:val="clear" w:color="auto" w:fill="FFFFFF"/>
        <w:textAlignment w:val="top"/>
        <w:rPr>
          <w:color w:val="222222"/>
        </w:rPr>
      </w:pPr>
      <w:bookmarkStart w:id="27" w:name="_Hlk66737678"/>
      <w:r w:rsidRPr="00BD5EA4">
        <w:t xml:space="preserve">The </w:t>
      </w:r>
      <w:r w:rsidR="00416EB0">
        <w:rPr>
          <w:bCs/>
        </w:rPr>
        <w:t>Issuer</w:t>
      </w:r>
      <w:r w:rsidRPr="00BD5EA4">
        <w:t xml:space="preserve"> plans to significantly expand </w:t>
      </w:r>
      <w:r>
        <w:t>its</w:t>
      </w:r>
      <w:r w:rsidRPr="00BD5EA4">
        <w:t xml:space="preserve"> business by </w:t>
      </w:r>
      <w:r>
        <w:t xml:space="preserve">increasing sales and marketing and investing in technology and product development. </w:t>
      </w:r>
      <w:r w:rsidRPr="00BD5EA4">
        <w:t>The capital we raise here</w:t>
      </w:r>
      <w:r>
        <w:t xml:space="preserve"> </w:t>
      </w:r>
      <w:r w:rsidRPr="00BD5EA4">
        <w:t xml:space="preserve">will empower us to expand our </w:t>
      </w:r>
      <w:r>
        <w:t>product development, increase sales and marketing efforts and grow out our infrastructure as</w:t>
      </w:r>
      <w:r w:rsidRPr="00BD5EA4">
        <w:rPr>
          <w:color w:val="222222"/>
        </w:rPr>
        <w:t xml:space="preserve"> we continue to aggressively grow and expand our business.</w:t>
      </w:r>
      <w:r>
        <w:rPr>
          <w:color w:val="222222"/>
        </w:rPr>
        <w:t xml:space="preserve">  </w:t>
      </w:r>
      <w:bookmarkEnd w:id="27"/>
    </w:p>
    <w:p w14:paraId="7A20E759" w14:textId="77777777" w:rsidR="00E8675F" w:rsidRDefault="00E8675F" w:rsidP="00E8675F">
      <w:pPr>
        <w:shd w:val="clear" w:color="auto" w:fill="FFFFFF"/>
        <w:textAlignment w:val="top"/>
      </w:pPr>
    </w:p>
    <w:p w14:paraId="2D27D437" w14:textId="10F50A2C" w:rsidR="00DC0ACF" w:rsidRPr="0063792C" w:rsidRDefault="00DC0ACF" w:rsidP="00DC0ACF">
      <w:pPr>
        <w:pStyle w:val="Heading2"/>
      </w:pPr>
      <w:bookmarkStart w:id="28" w:name="_Toc103593649"/>
      <w:r w:rsidRPr="0063792C">
        <w:t xml:space="preserve">The </w:t>
      </w:r>
      <w:r w:rsidR="00416EB0">
        <w:t>Issuer</w:t>
      </w:r>
      <w:r w:rsidRPr="0063792C">
        <w:t>’s Products and/or Services</w:t>
      </w:r>
      <w:bookmarkEnd w:id="28"/>
      <w:r w:rsidRPr="0063792C">
        <w:t xml:space="preserve"> </w:t>
      </w:r>
    </w:p>
    <w:p w14:paraId="6C050D95" w14:textId="77777777" w:rsidR="00DC0ACF" w:rsidRPr="0063792C" w:rsidRDefault="00DC0ACF" w:rsidP="00DC0ACF"/>
    <w:tbl>
      <w:tblPr>
        <w:tblStyle w:val="13"/>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3240"/>
        <w:gridCol w:w="3150"/>
      </w:tblGrid>
      <w:tr w:rsidR="00DC0ACF" w:rsidRPr="0063792C" w14:paraId="0691AB30" w14:textId="77777777" w:rsidTr="00BD59DC">
        <w:tc>
          <w:tcPr>
            <w:tcW w:w="3168" w:type="dxa"/>
            <w:shd w:val="clear" w:color="auto" w:fill="auto"/>
          </w:tcPr>
          <w:p w14:paraId="18E6F189" w14:textId="77777777" w:rsidR="00DC0ACF" w:rsidRPr="0063792C" w:rsidRDefault="00DC0ACF" w:rsidP="00BD59DC">
            <w:pPr>
              <w:jc w:val="center"/>
              <w:rPr>
                <w:b/>
                <w:bCs/>
              </w:rPr>
            </w:pPr>
            <w:r w:rsidRPr="0063792C">
              <w:rPr>
                <w:b/>
                <w:bCs/>
              </w:rPr>
              <w:t>Product / Service</w:t>
            </w:r>
          </w:p>
        </w:tc>
        <w:tc>
          <w:tcPr>
            <w:tcW w:w="3240" w:type="dxa"/>
            <w:shd w:val="clear" w:color="auto" w:fill="auto"/>
          </w:tcPr>
          <w:p w14:paraId="6ECCD787" w14:textId="77777777" w:rsidR="00DC0ACF" w:rsidRPr="0063792C" w:rsidRDefault="00DC0ACF" w:rsidP="00BD59DC">
            <w:pPr>
              <w:jc w:val="center"/>
              <w:rPr>
                <w:b/>
                <w:bCs/>
              </w:rPr>
            </w:pPr>
            <w:r w:rsidRPr="0063792C">
              <w:rPr>
                <w:b/>
                <w:bCs/>
              </w:rPr>
              <w:t>Description</w:t>
            </w:r>
          </w:p>
        </w:tc>
        <w:tc>
          <w:tcPr>
            <w:tcW w:w="3150" w:type="dxa"/>
            <w:shd w:val="clear" w:color="auto" w:fill="auto"/>
          </w:tcPr>
          <w:p w14:paraId="4375502D" w14:textId="77777777" w:rsidR="00DC0ACF" w:rsidRPr="0063792C" w:rsidRDefault="00DC0ACF" w:rsidP="00BD59DC">
            <w:pPr>
              <w:jc w:val="center"/>
              <w:rPr>
                <w:b/>
                <w:bCs/>
              </w:rPr>
            </w:pPr>
            <w:r w:rsidRPr="0063792C">
              <w:rPr>
                <w:b/>
                <w:bCs/>
              </w:rPr>
              <w:t>Current Market</w:t>
            </w:r>
          </w:p>
        </w:tc>
      </w:tr>
      <w:tr w:rsidR="00DC0ACF" w:rsidRPr="0063792C" w14:paraId="3F0B94A5" w14:textId="77777777" w:rsidTr="00BD59DC">
        <w:tc>
          <w:tcPr>
            <w:tcW w:w="3168" w:type="dxa"/>
            <w:shd w:val="clear" w:color="auto" w:fill="auto"/>
          </w:tcPr>
          <w:p w14:paraId="254720B7" w14:textId="4C1BB646" w:rsidR="00BC5626" w:rsidRDefault="00BC5626" w:rsidP="00BD59DC">
            <w:pPr>
              <w:rPr>
                <w:b/>
              </w:rPr>
            </w:pPr>
            <w:r>
              <w:rPr>
                <w:b/>
              </w:rPr>
              <w:t xml:space="preserve">Business Services for </w:t>
            </w:r>
            <w:r w:rsidR="0084138A">
              <w:rPr>
                <w:b/>
              </w:rPr>
              <w:t>entities</w:t>
            </w:r>
            <w:r>
              <w:rPr>
                <w:b/>
              </w:rPr>
              <w:t xml:space="preserve"> including:</w:t>
            </w:r>
          </w:p>
          <w:p w14:paraId="7941F065" w14:textId="633C8592" w:rsidR="00DC0ACF" w:rsidRDefault="0084138A" w:rsidP="00BC5626">
            <w:pPr>
              <w:pStyle w:val="ListParagraph"/>
              <w:numPr>
                <w:ilvl w:val="0"/>
                <w:numId w:val="26"/>
              </w:numPr>
              <w:rPr>
                <w:b/>
              </w:rPr>
            </w:pPr>
            <w:r>
              <w:rPr>
                <w:b/>
              </w:rPr>
              <w:t>B</w:t>
            </w:r>
            <w:r w:rsidR="00BC5626" w:rsidRPr="00BC5626">
              <w:rPr>
                <w:b/>
              </w:rPr>
              <w:t xml:space="preserve">usiness </w:t>
            </w:r>
            <w:r w:rsidR="00BC5626">
              <w:rPr>
                <w:b/>
              </w:rPr>
              <w:t>f</w:t>
            </w:r>
            <w:r w:rsidR="00BC5626" w:rsidRPr="00BC5626">
              <w:rPr>
                <w:b/>
              </w:rPr>
              <w:t>ormation</w:t>
            </w:r>
            <w:r w:rsidR="00BC5626">
              <w:rPr>
                <w:b/>
              </w:rPr>
              <w:t xml:space="preserve"> in all 50 states;</w:t>
            </w:r>
          </w:p>
          <w:p w14:paraId="54E83BF9" w14:textId="4ACC4684" w:rsidR="00BC5626" w:rsidRDefault="00BC5626" w:rsidP="00BC5626">
            <w:pPr>
              <w:pStyle w:val="ListParagraph"/>
              <w:numPr>
                <w:ilvl w:val="0"/>
                <w:numId w:val="26"/>
              </w:numPr>
              <w:rPr>
                <w:b/>
              </w:rPr>
            </w:pPr>
            <w:r>
              <w:rPr>
                <w:b/>
              </w:rPr>
              <w:t>Invoicing and Payment solutions;</w:t>
            </w:r>
          </w:p>
          <w:p w14:paraId="641C9BA2" w14:textId="64D2297E" w:rsidR="00BC5626" w:rsidRDefault="00BC5626" w:rsidP="00BC5626">
            <w:pPr>
              <w:pStyle w:val="ListParagraph"/>
              <w:numPr>
                <w:ilvl w:val="0"/>
                <w:numId w:val="26"/>
              </w:numPr>
              <w:rPr>
                <w:b/>
              </w:rPr>
            </w:pPr>
            <w:r>
              <w:rPr>
                <w:b/>
              </w:rPr>
              <w:t>Address and phone number solutions;</w:t>
            </w:r>
          </w:p>
          <w:p w14:paraId="14ABAD97" w14:textId="627015F4" w:rsidR="00BC5626" w:rsidRDefault="00BC5626" w:rsidP="00BC5626">
            <w:pPr>
              <w:pStyle w:val="ListParagraph"/>
              <w:numPr>
                <w:ilvl w:val="0"/>
                <w:numId w:val="26"/>
              </w:numPr>
              <w:rPr>
                <w:b/>
              </w:rPr>
            </w:pPr>
            <w:r>
              <w:rPr>
                <w:b/>
              </w:rPr>
              <w:t>Accounting products;</w:t>
            </w:r>
          </w:p>
          <w:p w14:paraId="3C6505A7" w14:textId="77777777" w:rsidR="00BC5626" w:rsidRDefault="00BC5626" w:rsidP="00BC5626">
            <w:pPr>
              <w:pStyle w:val="ListParagraph"/>
              <w:numPr>
                <w:ilvl w:val="0"/>
                <w:numId w:val="26"/>
              </w:numPr>
              <w:rPr>
                <w:b/>
              </w:rPr>
            </w:pPr>
            <w:r>
              <w:rPr>
                <w:b/>
              </w:rPr>
              <w:t xml:space="preserve">Tax Filing products; </w:t>
            </w:r>
          </w:p>
          <w:p w14:paraId="3ABBE23D" w14:textId="77777777" w:rsidR="00BC5626" w:rsidRDefault="00BC5626" w:rsidP="00BC5626">
            <w:pPr>
              <w:pStyle w:val="ListParagraph"/>
              <w:numPr>
                <w:ilvl w:val="0"/>
                <w:numId w:val="26"/>
              </w:numPr>
              <w:rPr>
                <w:b/>
              </w:rPr>
            </w:pPr>
            <w:r>
              <w:rPr>
                <w:b/>
              </w:rPr>
              <w:t>State compliance filing products;</w:t>
            </w:r>
          </w:p>
          <w:p w14:paraId="34C3DD37" w14:textId="2989B7A5" w:rsidR="00BC5626" w:rsidRDefault="00BC5626" w:rsidP="00BC5626">
            <w:pPr>
              <w:pStyle w:val="ListParagraph"/>
              <w:numPr>
                <w:ilvl w:val="0"/>
                <w:numId w:val="26"/>
              </w:numPr>
              <w:rPr>
                <w:b/>
              </w:rPr>
            </w:pPr>
            <w:r>
              <w:rPr>
                <w:b/>
              </w:rPr>
              <w:t>Registered agent services; and</w:t>
            </w:r>
          </w:p>
          <w:p w14:paraId="1D6105F0" w14:textId="193E97BD" w:rsidR="00BC5626" w:rsidRPr="00BC5626" w:rsidRDefault="00BC5626" w:rsidP="00BC5626">
            <w:pPr>
              <w:pStyle w:val="ListParagraph"/>
              <w:numPr>
                <w:ilvl w:val="0"/>
                <w:numId w:val="26"/>
              </w:numPr>
              <w:rPr>
                <w:b/>
              </w:rPr>
            </w:pPr>
            <w:r>
              <w:rPr>
                <w:b/>
              </w:rPr>
              <w:t>Agreement generators</w:t>
            </w:r>
          </w:p>
        </w:tc>
        <w:tc>
          <w:tcPr>
            <w:tcW w:w="3240" w:type="dxa"/>
            <w:shd w:val="clear" w:color="auto" w:fill="auto"/>
          </w:tcPr>
          <w:p w14:paraId="2E2D9630" w14:textId="5DE381EA" w:rsidR="00DC0ACF" w:rsidRPr="00BC5626" w:rsidRDefault="00BC5626" w:rsidP="00BD59DC">
            <w:pPr>
              <w:rPr>
                <w:bCs/>
              </w:rPr>
            </w:pPr>
            <w:r>
              <w:rPr>
                <w:bCs/>
              </w:rPr>
              <w:t xml:space="preserve">Assisting </w:t>
            </w:r>
            <w:r w:rsidR="0084138A">
              <w:rPr>
                <w:bCs/>
              </w:rPr>
              <w:t>entities</w:t>
            </w:r>
            <w:r>
              <w:rPr>
                <w:bCs/>
              </w:rPr>
              <w:t xml:space="preserve"> with all aspects of running their back office operations. </w:t>
            </w:r>
          </w:p>
        </w:tc>
        <w:tc>
          <w:tcPr>
            <w:tcW w:w="3150" w:type="dxa"/>
            <w:shd w:val="clear" w:color="auto" w:fill="auto"/>
          </w:tcPr>
          <w:p w14:paraId="25E78CA6" w14:textId="1F9B2E7B" w:rsidR="00DC0ACF" w:rsidRPr="00BC5626" w:rsidRDefault="00BC5626" w:rsidP="00BD59DC">
            <w:pPr>
              <w:rPr>
                <w:bCs/>
              </w:rPr>
            </w:pPr>
            <w:r>
              <w:rPr>
                <w:bCs/>
              </w:rPr>
              <w:t>Small business owners, freelancers, e-commerce business owners and consultants.</w:t>
            </w:r>
          </w:p>
        </w:tc>
      </w:tr>
    </w:tbl>
    <w:p w14:paraId="3A525DB3" w14:textId="77777777" w:rsidR="00DC0ACF" w:rsidRPr="0063792C" w:rsidRDefault="00DC0ACF" w:rsidP="00DC0ACF"/>
    <w:p w14:paraId="04E17B1E" w14:textId="77777777" w:rsidR="00DC0ACF" w:rsidRPr="0063792C" w:rsidRDefault="00DC0ACF" w:rsidP="00DC0ACF">
      <w:pPr>
        <w:pStyle w:val="Heading2"/>
      </w:pPr>
      <w:bookmarkStart w:id="29" w:name="_Toc103593650"/>
      <w:r w:rsidRPr="0063792C">
        <w:t>Competition</w:t>
      </w:r>
      <w:bookmarkEnd w:id="29"/>
    </w:p>
    <w:p w14:paraId="593CCE44" w14:textId="77777777" w:rsidR="00DC0ACF" w:rsidRPr="0063792C" w:rsidRDefault="00DC0ACF" w:rsidP="00DC0ACF"/>
    <w:p w14:paraId="1D8CBEC6" w14:textId="28F44F64" w:rsidR="00DC0ACF" w:rsidRPr="00E8675F" w:rsidRDefault="00DC0ACF" w:rsidP="00DC0ACF">
      <w:r w:rsidRPr="00E8675F">
        <w:t xml:space="preserve">The markets in which our products are sold are highly competitive. Our products compete against similar products of many large and small companies, including well-known global competitors. </w:t>
      </w:r>
    </w:p>
    <w:p w14:paraId="3B7F66FB" w14:textId="34C4DAD4" w:rsidR="00DC0ACF" w:rsidRPr="00E8675F" w:rsidRDefault="00DC0ACF" w:rsidP="00DC0ACF"/>
    <w:p w14:paraId="5031D63F" w14:textId="6A2DF2A1" w:rsidR="00E8675F" w:rsidRPr="0063792C" w:rsidRDefault="00BC5626" w:rsidP="00E8675F">
      <w:r>
        <w:t xml:space="preserve">Our primary competitors are LegalZoom, Firstbase, Doola and ZenBusiness. </w:t>
      </w:r>
    </w:p>
    <w:p w14:paraId="7F0BBB46" w14:textId="77777777" w:rsidR="00E8675F" w:rsidRPr="0063792C" w:rsidRDefault="00E8675F" w:rsidP="00DC0ACF"/>
    <w:p w14:paraId="219E75BD" w14:textId="77777777" w:rsidR="00DC0ACF" w:rsidRPr="0063792C" w:rsidRDefault="00DC0ACF" w:rsidP="00DC0ACF">
      <w:pPr>
        <w:pStyle w:val="Heading2"/>
      </w:pPr>
      <w:bookmarkStart w:id="30" w:name="_Toc103593651"/>
      <w:r w:rsidRPr="0063792C">
        <w:t>Customer Base</w:t>
      </w:r>
      <w:bookmarkEnd w:id="30"/>
    </w:p>
    <w:p w14:paraId="5717A33C" w14:textId="77777777" w:rsidR="00DC0ACF" w:rsidRPr="0063792C" w:rsidRDefault="00DC0ACF" w:rsidP="00DC0ACF"/>
    <w:p w14:paraId="40DE0AE4" w14:textId="62F1CA7E" w:rsidR="00DC0ACF" w:rsidRPr="0063792C" w:rsidRDefault="00BC5626" w:rsidP="00DC0ACF">
      <w:r>
        <w:rPr>
          <w:bCs/>
        </w:rPr>
        <w:t xml:space="preserve">Our customer base consists primarily of small business owners, freelancers, e-commerce business owners and consultants. </w:t>
      </w:r>
    </w:p>
    <w:p w14:paraId="21549B5B" w14:textId="77777777" w:rsidR="00DC0ACF" w:rsidRPr="0063792C" w:rsidRDefault="00DC0ACF" w:rsidP="00DC0ACF"/>
    <w:p w14:paraId="45D8B352" w14:textId="77777777" w:rsidR="00DC0ACF" w:rsidRPr="0063792C" w:rsidRDefault="00DC0ACF" w:rsidP="00DC0ACF">
      <w:pPr>
        <w:rPr>
          <w:b/>
          <w:bCs/>
        </w:rPr>
      </w:pPr>
      <w:r w:rsidRPr="0063792C">
        <w:rPr>
          <w:b/>
          <w:bCs/>
        </w:rPr>
        <w:t>Supply Chain</w:t>
      </w:r>
    </w:p>
    <w:p w14:paraId="256432A6" w14:textId="77777777" w:rsidR="00DC0ACF" w:rsidRDefault="00DC0ACF" w:rsidP="00DC0ACF">
      <w:pPr>
        <w:rPr>
          <w:highlight w:val="yellow"/>
        </w:rPr>
      </w:pPr>
    </w:p>
    <w:p w14:paraId="064029B8" w14:textId="64A305C5" w:rsidR="00E8675F" w:rsidRDefault="00E8675F" w:rsidP="00E8675F">
      <w:r w:rsidRPr="00E2009C">
        <w:t xml:space="preserve">Although the </w:t>
      </w:r>
      <w:r w:rsidR="00416EB0">
        <w:rPr>
          <w:bCs/>
        </w:rPr>
        <w:t>Issuer</w:t>
      </w:r>
      <w:r w:rsidRPr="00E2009C">
        <w:t xml:space="preserve"> is dependent upon certain third party vendors, the </w:t>
      </w:r>
      <w:r w:rsidR="00416EB0">
        <w:rPr>
          <w:bCs/>
        </w:rPr>
        <w:t>Issuer</w:t>
      </w:r>
      <w:r w:rsidRPr="00E2009C">
        <w:t xml:space="preserve"> has access to alternate service providers in the event its current third-party vendors are unable to provide services or any issues arise with its current vendors where a change is required to be made. The </w:t>
      </w:r>
      <w:r w:rsidR="00416EB0">
        <w:rPr>
          <w:bCs/>
        </w:rPr>
        <w:t>Issuer</w:t>
      </w:r>
      <w:r w:rsidRPr="00E2009C">
        <w:t xml:space="preserve"> does not believe the loss of a current third-party vendor or service provider would cause a major disruption to its business, although it could cause short-term </w:t>
      </w:r>
      <w:sdt>
        <w:sdtPr>
          <w:tag w:val="goog_rdk_35"/>
          <w:id w:val="619579122"/>
        </w:sdtPr>
        <w:sdtContent/>
      </w:sdt>
      <w:r w:rsidRPr="00E2009C">
        <w:t>limitations</w:t>
      </w:r>
      <w:r>
        <w:t xml:space="preserve"> or disruptions</w:t>
      </w:r>
      <w:r w:rsidRPr="00E2009C">
        <w:t>.</w:t>
      </w:r>
    </w:p>
    <w:p w14:paraId="2F802496" w14:textId="77777777" w:rsidR="00DC0ACF" w:rsidRPr="0063792C" w:rsidRDefault="00DC0ACF" w:rsidP="00DC0ACF"/>
    <w:p w14:paraId="79F163D5" w14:textId="77777777" w:rsidR="009C1B28" w:rsidRDefault="009C1B28">
      <w:pPr>
        <w:jc w:val="left"/>
        <w:rPr>
          <w:b/>
        </w:rPr>
      </w:pPr>
      <w:bookmarkStart w:id="31" w:name="_Toc103593652"/>
      <w:r>
        <w:br w:type="page"/>
      </w:r>
    </w:p>
    <w:p w14:paraId="62085E70" w14:textId="1D73AE46" w:rsidR="00DC0ACF" w:rsidRPr="0063792C" w:rsidRDefault="00DC0ACF" w:rsidP="00DC0ACF">
      <w:pPr>
        <w:pStyle w:val="Heading2"/>
      </w:pPr>
      <w:r w:rsidRPr="0063792C">
        <w:lastRenderedPageBreak/>
        <w:t>Intellectual Property</w:t>
      </w:r>
      <w:bookmarkEnd w:id="31"/>
      <w:r w:rsidRPr="0063792C">
        <w:t xml:space="preserve"> </w:t>
      </w:r>
    </w:p>
    <w:p w14:paraId="7E795844" w14:textId="77777777" w:rsidR="008F474C" w:rsidRPr="0063792C" w:rsidRDefault="008F474C" w:rsidP="008F474C">
      <w:bookmarkStart w:id="32" w:name="_Toc103593653"/>
    </w:p>
    <w:tbl>
      <w:tblPr>
        <w:tblStyle w:val="1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6"/>
        <w:gridCol w:w="1440"/>
        <w:gridCol w:w="1978"/>
        <w:gridCol w:w="1414"/>
        <w:gridCol w:w="1361"/>
        <w:gridCol w:w="1361"/>
      </w:tblGrid>
      <w:tr w:rsidR="008F474C" w:rsidRPr="0063792C" w14:paraId="12766A38" w14:textId="77777777" w:rsidTr="00525EE2">
        <w:tc>
          <w:tcPr>
            <w:tcW w:w="960" w:type="pct"/>
            <w:shd w:val="clear" w:color="auto" w:fill="auto"/>
          </w:tcPr>
          <w:p w14:paraId="103C28E9" w14:textId="77777777" w:rsidR="008F474C" w:rsidRPr="0063792C" w:rsidRDefault="008F474C" w:rsidP="00525EE2">
            <w:pPr>
              <w:pStyle w:val="NoSpacing"/>
            </w:pPr>
            <w:bookmarkStart w:id="33" w:name="_Toc4935484"/>
            <w:r w:rsidRPr="0063792C">
              <w:t>Application or Registration #</w:t>
            </w:r>
            <w:bookmarkEnd w:id="33"/>
          </w:p>
        </w:tc>
        <w:tc>
          <w:tcPr>
            <w:tcW w:w="770" w:type="pct"/>
            <w:shd w:val="clear" w:color="auto" w:fill="auto"/>
          </w:tcPr>
          <w:p w14:paraId="6EFA1E07" w14:textId="77777777" w:rsidR="008F474C" w:rsidRPr="0063792C" w:rsidRDefault="008F474C" w:rsidP="00525EE2">
            <w:pPr>
              <w:pStyle w:val="NoSpacing"/>
            </w:pPr>
            <w:bookmarkStart w:id="34" w:name="_Toc4935485"/>
            <w:r w:rsidRPr="0063792C">
              <w:t>Title</w:t>
            </w:r>
            <w:bookmarkEnd w:id="34"/>
          </w:p>
        </w:tc>
        <w:tc>
          <w:tcPr>
            <w:tcW w:w="1058" w:type="pct"/>
            <w:shd w:val="clear" w:color="auto" w:fill="auto"/>
          </w:tcPr>
          <w:p w14:paraId="0C5ED2E7" w14:textId="77777777" w:rsidR="008F474C" w:rsidRPr="0063792C" w:rsidRDefault="008F474C" w:rsidP="00525EE2">
            <w:pPr>
              <w:pStyle w:val="NoSpacing"/>
            </w:pPr>
            <w:r w:rsidRPr="0063792C">
              <w:t>Description</w:t>
            </w:r>
          </w:p>
        </w:tc>
        <w:tc>
          <w:tcPr>
            <w:tcW w:w="756" w:type="pct"/>
          </w:tcPr>
          <w:p w14:paraId="2CCDB22C" w14:textId="77777777" w:rsidR="008F474C" w:rsidRPr="0063792C" w:rsidRDefault="008F474C" w:rsidP="00525EE2">
            <w:pPr>
              <w:pStyle w:val="NoSpacing"/>
            </w:pPr>
            <w:bookmarkStart w:id="35" w:name="_Toc4935487"/>
            <w:r w:rsidRPr="0063792C">
              <w:t>File Date</w:t>
            </w:r>
            <w:bookmarkEnd w:id="35"/>
          </w:p>
        </w:tc>
        <w:tc>
          <w:tcPr>
            <w:tcW w:w="728" w:type="pct"/>
          </w:tcPr>
          <w:p w14:paraId="6A391C0C" w14:textId="77777777" w:rsidR="008F474C" w:rsidRPr="0063792C" w:rsidRDefault="008F474C" w:rsidP="00525EE2">
            <w:pPr>
              <w:pStyle w:val="NoSpacing"/>
            </w:pPr>
            <w:r w:rsidRPr="0063792C">
              <w:t>Grant Date</w:t>
            </w:r>
          </w:p>
        </w:tc>
        <w:tc>
          <w:tcPr>
            <w:tcW w:w="728" w:type="pct"/>
          </w:tcPr>
          <w:p w14:paraId="2BF5DEF0" w14:textId="77777777" w:rsidR="008F474C" w:rsidRPr="0063792C" w:rsidRDefault="008F474C" w:rsidP="00525EE2">
            <w:pPr>
              <w:pStyle w:val="NoSpacing"/>
            </w:pPr>
            <w:bookmarkStart w:id="36" w:name="_Toc4935488"/>
            <w:r w:rsidRPr="0063792C">
              <w:t>Country</w:t>
            </w:r>
            <w:bookmarkEnd w:id="36"/>
          </w:p>
        </w:tc>
      </w:tr>
      <w:tr w:rsidR="008F474C" w:rsidRPr="0063792C" w14:paraId="50A2CB61" w14:textId="77777777" w:rsidTr="00525EE2">
        <w:trPr>
          <w:trHeight w:val="220"/>
        </w:trPr>
        <w:tc>
          <w:tcPr>
            <w:tcW w:w="960" w:type="pct"/>
            <w:shd w:val="clear" w:color="auto" w:fill="auto"/>
          </w:tcPr>
          <w:p w14:paraId="63D58F54" w14:textId="21831CB8" w:rsidR="008F474C" w:rsidRPr="0063792C" w:rsidRDefault="00BC5626" w:rsidP="00525EE2">
            <w:pPr>
              <w:pStyle w:val="NoSpacing"/>
            </w:pPr>
            <w:r>
              <w:t>90771750</w:t>
            </w:r>
            <w:r w:rsidR="00620B20">
              <w:t>*</w:t>
            </w:r>
          </w:p>
        </w:tc>
        <w:tc>
          <w:tcPr>
            <w:tcW w:w="770" w:type="pct"/>
            <w:shd w:val="clear" w:color="auto" w:fill="auto"/>
          </w:tcPr>
          <w:p w14:paraId="12E87112" w14:textId="27C715D5" w:rsidR="008F474C" w:rsidRDefault="00BC5626" w:rsidP="00525EE2">
            <w:pPr>
              <w:pStyle w:val="NoSpacing"/>
            </w:pPr>
            <w:r>
              <w:t>“StartGlobal</w:t>
            </w:r>
            <w:r w:rsidR="008F474C">
              <w:t>”</w:t>
            </w:r>
          </w:p>
          <w:p w14:paraId="7A467410" w14:textId="77777777" w:rsidR="008F474C" w:rsidRPr="0063792C" w:rsidRDefault="008F474C" w:rsidP="00525EE2">
            <w:pPr>
              <w:pStyle w:val="NoSpacing"/>
            </w:pPr>
          </w:p>
        </w:tc>
        <w:tc>
          <w:tcPr>
            <w:tcW w:w="1058" w:type="pct"/>
            <w:shd w:val="clear" w:color="auto" w:fill="auto"/>
          </w:tcPr>
          <w:p w14:paraId="7BDF7050" w14:textId="2F3819B6" w:rsidR="008F474C" w:rsidRDefault="00BC5626" w:rsidP="00525EE2">
            <w:pPr>
              <w:pStyle w:val="NoSpacing"/>
            </w:pPr>
            <w:r>
              <w:t>Service</w:t>
            </w:r>
            <w:r w:rsidR="008F474C">
              <w:t xml:space="preserve"> Mark</w:t>
            </w:r>
          </w:p>
          <w:p w14:paraId="45E4997C" w14:textId="77777777" w:rsidR="008F474C" w:rsidRPr="0063792C" w:rsidRDefault="008F474C" w:rsidP="00525EE2">
            <w:pPr>
              <w:pStyle w:val="NoSpacing"/>
            </w:pPr>
          </w:p>
        </w:tc>
        <w:tc>
          <w:tcPr>
            <w:tcW w:w="756" w:type="pct"/>
          </w:tcPr>
          <w:p w14:paraId="6B6D77FF" w14:textId="32866844" w:rsidR="008F474C" w:rsidRPr="0063792C" w:rsidRDefault="00BC5626" w:rsidP="00BC5626">
            <w:pPr>
              <w:pStyle w:val="NoSpacing"/>
            </w:pPr>
            <w:r>
              <w:t>June 14, 2021</w:t>
            </w:r>
          </w:p>
        </w:tc>
        <w:tc>
          <w:tcPr>
            <w:tcW w:w="728" w:type="pct"/>
          </w:tcPr>
          <w:p w14:paraId="61A17270" w14:textId="0E6F10B2" w:rsidR="008F474C" w:rsidRDefault="008F474C" w:rsidP="00525EE2">
            <w:pPr>
              <w:pStyle w:val="NoSpacing"/>
            </w:pPr>
            <w:r>
              <w:t>Pending</w:t>
            </w:r>
          </w:p>
          <w:p w14:paraId="09B015D2" w14:textId="77777777" w:rsidR="008F474C" w:rsidRPr="0063792C" w:rsidRDefault="008F474C" w:rsidP="00525EE2">
            <w:pPr>
              <w:pStyle w:val="NoSpacing"/>
              <w:rPr>
                <w:highlight w:val="yellow"/>
              </w:rPr>
            </w:pPr>
          </w:p>
        </w:tc>
        <w:tc>
          <w:tcPr>
            <w:tcW w:w="728" w:type="pct"/>
          </w:tcPr>
          <w:p w14:paraId="4341D8AE" w14:textId="77777777" w:rsidR="008F474C" w:rsidRDefault="008F474C" w:rsidP="00525EE2">
            <w:pPr>
              <w:pStyle w:val="NoSpacing"/>
            </w:pPr>
            <w:r>
              <w:t>USA</w:t>
            </w:r>
          </w:p>
          <w:p w14:paraId="50225850" w14:textId="77777777" w:rsidR="008F474C" w:rsidRPr="0063792C" w:rsidRDefault="008F474C" w:rsidP="00525EE2">
            <w:pPr>
              <w:pStyle w:val="NoSpacing"/>
            </w:pPr>
          </w:p>
        </w:tc>
      </w:tr>
    </w:tbl>
    <w:p w14:paraId="10612BAC" w14:textId="3F9BABF4" w:rsidR="008F474C" w:rsidRDefault="00620B20" w:rsidP="008F474C">
      <w:r>
        <w:t>*Registered under Sieve, Inc., which was the name of the Issuer at the time of the filing.</w:t>
      </w:r>
    </w:p>
    <w:p w14:paraId="1FFBD910" w14:textId="77777777" w:rsidR="00620B20" w:rsidRDefault="00620B20" w:rsidP="008F474C"/>
    <w:p w14:paraId="3756A005" w14:textId="69983F7A" w:rsidR="008F474C" w:rsidRDefault="008F474C" w:rsidP="008F474C">
      <w:r>
        <w:rPr>
          <w:color w:val="222222"/>
        </w:rPr>
        <w:t xml:space="preserve">All other intellectual property is in the form of trade secrets, business methods and know-how and is protected through intellectual assignment and confidentiality agreements with </w:t>
      </w:r>
      <w:r w:rsidR="00416EB0">
        <w:rPr>
          <w:bCs/>
        </w:rPr>
        <w:t>Issuer</w:t>
      </w:r>
      <w:r>
        <w:rPr>
          <w:color w:val="222222"/>
        </w:rPr>
        <w:t xml:space="preserve"> employees, advisors and consultants.</w:t>
      </w:r>
    </w:p>
    <w:p w14:paraId="07D22A12" w14:textId="77777777" w:rsidR="008F474C" w:rsidRDefault="008F474C" w:rsidP="00DC0ACF">
      <w:pPr>
        <w:pStyle w:val="Heading2"/>
      </w:pPr>
    </w:p>
    <w:p w14:paraId="3CFCBA4E" w14:textId="4F584169" w:rsidR="00DC0ACF" w:rsidRPr="0063792C" w:rsidRDefault="00DC0ACF" w:rsidP="00DC0ACF">
      <w:pPr>
        <w:pStyle w:val="Heading2"/>
      </w:pPr>
      <w:r w:rsidRPr="0063792C">
        <w:t>Governmental/Regulatory Approval and Compliance</w:t>
      </w:r>
      <w:bookmarkEnd w:id="32"/>
      <w:r w:rsidRPr="0063792C">
        <w:t xml:space="preserve"> </w:t>
      </w:r>
    </w:p>
    <w:p w14:paraId="468422D8" w14:textId="77777777" w:rsidR="00DC0ACF" w:rsidRPr="0063792C" w:rsidRDefault="00DC0ACF" w:rsidP="00DC0ACF"/>
    <w:p w14:paraId="56399082" w14:textId="39ED72E3" w:rsidR="00DC0ACF" w:rsidRPr="0063792C" w:rsidRDefault="00DC0ACF" w:rsidP="00DC0ACF">
      <w:r w:rsidRPr="0063792C">
        <w:t xml:space="preserve">The </w:t>
      </w:r>
      <w:r w:rsidR="00416EB0">
        <w:rPr>
          <w:bCs/>
        </w:rPr>
        <w:t>Issuer</w:t>
      </w:r>
      <w:r w:rsidRPr="0063792C">
        <w:t xml:space="preserve"> is subject to and affected by the laws and regulations of U.S. federal, state and local governmental authorities. These laws and regulations are subject to change. </w:t>
      </w:r>
    </w:p>
    <w:p w14:paraId="7969B579" w14:textId="77777777" w:rsidR="00DC0ACF" w:rsidRPr="0063792C" w:rsidRDefault="00DC0ACF" w:rsidP="00DC0ACF"/>
    <w:p w14:paraId="6763D286" w14:textId="77777777" w:rsidR="00DC0ACF" w:rsidRPr="0063792C" w:rsidRDefault="00DC0ACF" w:rsidP="00DC0ACF">
      <w:pPr>
        <w:pStyle w:val="Heading2"/>
      </w:pPr>
      <w:bookmarkStart w:id="37" w:name="_Toc103593654"/>
      <w:r w:rsidRPr="0063792C">
        <w:t>Litigation</w:t>
      </w:r>
      <w:bookmarkEnd w:id="37"/>
      <w:r w:rsidRPr="0063792C">
        <w:t xml:space="preserve"> </w:t>
      </w:r>
    </w:p>
    <w:p w14:paraId="7B904A59" w14:textId="77777777" w:rsidR="00DC0ACF" w:rsidRPr="0063792C" w:rsidRDefault="00DC0ACF" w:rsidP="00DC0ACF"/>
    <w:p w14:paraId="69813935" w14:textId="529A466E" w:rsidR="00DC0ACF" w:rsidRPr="0063792C" w:rsidRDefault="00DC0ACF" w:rsidP="00DC0ACF">
      <w:r w:rsidRPr="0008080B">
        <w:t xml:space="preserve">The </w:t>
      </w:r>
      <w:r w:rsidR="00416EB0" w:rsidRPr="0008080B">
        <w:t>Issuer</w:t>
      </w:r>
      <w:r w:rsidRPr="0008080B">
        <w:t xml:space="preserve"> is not subject to any current litigation or threatened litigation.</w:t>
      </w:r>
    </w:p>
    <w:p w14:paraId="1D7C9048" w14:textId="77777777" w:rsidR="00DC0ACF" w:rsidRPr="0063792C" w:rsidRDefault="00DC0ACF" w:rsidP="00DC0ACF">
      <w:pPr>
        <w:rPr>
          <w:b/>
        </w:rPr>
      </w:pPr>
    </w:p>
    <w:p w14:paraId="39095CBA" w14:textId="77777777" w:rsidR="008F474C" w:rsidRDefault="008F474C">
      <w:pPr>
        <w:jc w:val="left"/>
        <w:rPr>
          <w:b/>
        </w:rPr>
      </w:pPr>
      <w:bookmarkStart w:id="38" w:name="_Toc103593655"/>
      <w:r>
        <w:br w:type="page"/>
      </w:r>
    </w:p>
    <w:p w14:paraId="4EB7CE75" w14:textId="7410869E" w:rsidR="00DC0ACF" w:rsidRPr="0063792C" w:rsidRDefault="00DC0ACF" w:rsidP="00DC0ACF">
      <w:pPr>
        <w:pStyle w:val="Heading1"/>
        <w:jc w:val="center"/>
      </w:pPr>
      <w:r w:rsidRPr="0063792C">
        <w:lastRenderedPageBreak/>
        <w:t>USE OF PROCEEDS</w:t>
      </w:r>
      <w:bookmarkEnd w:id="38"/>
    </w:p>
    <w:p w14:paraId="7C783019" w14:textId="77777777" w:rsidR="00DC0ACF" w:rsidRPr="0063792C" w:rsidRDefault="00DC0ACF" w:rsidP="00DC0ACF"/>
    <w:p w14:paraId="29DA27DE" w14:textId="13F16981" w:rsidR="00DC0ACF" w:rsidRPr="0063792C" w:rsidRDefault="00DC0ACF" w:rsidP="00DC0ACF">
      <w:r w:rsidRPr="0063792C">
        <w:t>The following table illustrates how we intend to use the net proceeds received from this Offering. The values below are not inclusive of payments to financial and legal service providers</w:t>
      </w:r>
      <w:r w:rsidR="00416EB0">
        <w:t>, fees associated with bad actor checks, payment processing fees</w:t>
      </w:r>
      <w:r w:rsidRPr="0063792C">
        <w:t xml:space="preserve"> and escrow related fees, all of which were incurred in the preparation of this Offering and are due in advance of the closing of the Offering.</w:t>
      </w:r>
    </w:p>
    <w:p w14:paraId="61125D34" w14:textId="77777777" w:rsidR="0090299E" w:rsidRPr="0063792C" w:rsidRDefault="0090299E" w:rsidP="008F474C"/>
    <w:tbl>
      <w:tblPr>
        <w:tblW w:w="5000" w:type="pct"/>
        <w:tblLayout w:type="fixed"/>
        <w:tblCellMar>
          <w:top w:w="100" w:type="dxa"/>
          <w:left w:w="100" w:type="dxa"/>
          <w:bottom w:w="100" w:type="dxa"/>
          <w:right w:w="100" w:type="dxa"/>
        </w:tblCellMar>
        <w:tblLook w:val="0000" w:firstRow="0" w:lastRow="0" w:firstColumn="0" w:lastColumn="0" w:noHBand="0" w:noVBand="0"/>
      </w:tblPr>
      <w:tblGrid>
        <w:gridCol w:w="1868"/>
        <w:gridCol w:w="1868"/>
        <w:gridCol w:w="1868"/>
        <w:gridCol w:w="1868"/>
        <w:gridCol w:w="1868"/>
      </w:tblGrid>
      <w:tr w:rsidR="008F474C" w:rsidRPr="0063792C" w14:paraId="169F3593" w14:textId="77777777" w:rsidTr="00525EE2">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4E5B267E" w14:textId="77777777" w:rsidR="008F474C" w:rsidRPr="0063792C" w:rsidRDefault="008F474C" w:rsidP="00525EE2">
            <w:pPr>
              <w:keepNext/>
              <w:jc w:val="center"/>
            </w:pPr>
            <w:r w:rsidRPr="0063792C">
              <w:rPr>
                <w:b/>
                <w:bCs/>
              </w:rPr>
              <w:t>Use of Proceeds</w:t>
            </w:r>
          </w:p>
        </w:tc>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19E0A018" w14:textId="77777777" w:rsidR="008F474C" w:rsidRPr="0063792C" w:rsidRDefault="008F474C" w:rsidP="00525EE2">
            <w:pPr>
              <w:jc w:val="center"/>
            </w:pPr>
            <w:r w:rsidRPr="0063792C">
              <w:rPr>
                <w:b/>
                <w:bCs/>
              </w:rPr>
              <w:t>% of Proceeds if Target Offering Amount Raised</w:t>
            </w:r>
          </w:p>
        </w:tc>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596A76E8" w14:textId="77777777" w:rsidR="008F474C" w:rsidRPr="0063792C" w:rsidRDefault="008F474C" w:rsidP="00525EE2">
            <w:pPr>
              <w:jc w:val="center"/>
            </w:pPr>
            <w:r w:rsidRPr="0063792C">
              <w:rPr>
                <w:b/>
                <w:bCs/>
              </w:rPr>
              <w:t>Amount if Target Offering Amount Raised</w:t>
            </w:r>
          </w:p>
        </w:tc>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64609957" w14:textId="77777777" w:rsidR="008F474C" w:rsidRPr="0063792C" w:rsidRDefault="008F474C" w:rsidP="00525EE2">
            <w:pPr>
              <w:jc w:val="center"/>
            </w:pPr>
            <w:r w:rsidRPr="0063792C">
              <w:rPr>
                <w:b/>
                <w:bCs/>
              </w:rPr>
              <w:t>% of Proceeds if Maximum Offering Amount Raised</w:t>
            </w:r>
          </w:p>
        </w:tc>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68E7907F" w14:textId="77777777" w:rsidR="008F474C" w:rsidRPr="0063792C" w:rsidRDefault="008F474C" w:rsidP="00525EE2">
            <w:pPr>
              <w:jc w:val="center"/>
            </w:pPr>
            <w:r w:rsidRPr="0063792C">
              <w:rPr>
                <w:b/>
                <w:bCs/>
              </w:rPr>
              <w:t>Amount if Maximum Offering Amount Raised</w:t>
            </w:r>
          </w:p>
        </w:tc>
      </w:tr>
      <w:tr w:rsidR="008F474C" w:rsidRPr="0063792C" w14:paraId="6E52CB2A" w14:textId="77777777" w:rsidTr="00525EE2">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4D70F48" w14:textId="77777777" w:rsidR="008F474C" w:rsidRPr="0063792C" w:rsidRDefault="008F474C" w:rsidP="00525EE2">
            <w:pPr>
              <w:keepNext/>
              <w:jc w:val="center"/>
            </w:pPr>
            <w:r w:rsidRPr="0063792C">
              <w:t>Intermediary Fees</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97236E9" w14:textId="5E02F569" w:rsidR="008F474C" w:rsidRPr="00DA30F6" w:rsidRDefault="00747A8B" w:rsidP="00525EE2">
            <w:pPr>
              <w:jc w:val="center"/>
            </w:pPr>
            <w:r w:rsidRPr="00DA30F6">
              <w:t>24</w:t>
            </w:r>
            <w:r w:rsidR="008F474C" w:rsidRPr="00DA30F6">
              <w:t>%</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DB18F4B" w14:textId="6BEB9CD6" w:rsidR="008F474C" w:rsidRPr="00DA30F6" w:rsidRDefault="008F474C" w:rsidP="00525EE2">
            <w:pPr>
              <w:jc w:val="center"/>
            </w:pPr>
            <w:r w:rsidRPr="00DA30F6">
              <w:t>$</w:t>
            </w:r>
            <w:r w:rsidR="00747A8B" w:rsidRPr="00DA30F6">
              <w:t>12,000</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FD2F376" w14:textId="2E157228" w:rsidR="008F474C" w:rsidRPr="00DA30F6" w:rsidRDefault="00DA30F6" w:rsidP="00525EE2">
            <w:pPr>
              <w:jc w:val="center"/>
            </w:pPr>
            <w:r w:rsidRPr="00DA30F6">
              <w:t>6</w:t>
            </w:r>
            <w:r w:rsidR="008F474C" w:rsidRPr="00DA30F6">
              <w:t>%</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AD2A6B9" w14:textId="5DCC12F4" w:rsidR="008F474C" w:rsidRPr="0063792C" w:rsidRDefault="008F474C" w:rsidP="00525EE2">
            <w:pPr>
              <w:jc w:val="center"/>
            </w:pPr>
            <w:r w:rsidRPr="0063792C">
              <w:t>$</w:t>
            </w:r>
            <w:r w:rsidR="00DA30F6">
              <w:t>74,100</w:t>
            </w:r>
          </w:p>
        </w:tc>
      </w:tr>
      <w:tr w:rsidR="008F474C" w:rsidRPr="0063792C" w14:paraId="729CD067" w14:textId="77777777" w:rsidTr="00525EE2">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94900CB" w14:textId="77777777" w:rsidR="008F474C" w:rsidRDefault="008F474C" w:rsidP="00525EE2">
            <w:pPr>
              <w:keepNext/>
              <w:jc w:val="center"/>
            </w:pPr>
            <w:r>
              <w:t>Technology &amp; Product Development (1)</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0B05360" w14:textId="17FD99CF" w:rsidR="008F474C" w:rsidRPr="00DA30F6" w:rsidRDefault="00DA30F6" w:rsidP="00525EE2">
            <w:pPr>
              <w:jc w:val="center"/>
            </w:pPr>
            <w:r w:rsidRPr="00DA30F6">
              <w:t>19</w:t>
            </w:r>
            <w:r w:rsidR="008F474C" w:rsidRPr="00DA30F6">
              <w:t>%</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77B4572" w14:textId="3303443A" w:rsidR="008F474C" w:rsidRPr="00DA30F6" w:rsidRDefault="008F474C" w:rsidP="00525EE2">
            <w:pPr>
              <w:jc w:val="center"/>
            </w:pPr>
            <w:r w:rsidRPr="00DA30F6">
              <w:t>$</w:t>
            </w:r>
            <w:r w:rsidR="00DA30F6" w:rsidRPr="00DA30F6">
              <w:t>9,500</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F23E967" w14:textId="23AE1FEE" w:rsidR="008F474C" w:rsidRPr="00DA30F6" w:rsidRDefault="00DA30F6" w:rsidP="00525EE2">
            <w:pPr>
              <w:jc w:val="center"/>
            </w:pPr>
            <w:r w:rsidRPr="00DA30F6">
              <w:t>23</w:t>
            </w:r>
            <w:r w:rsidR="008F474C" w:rsidRPr="00DA30F6">
              <w:t>%</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FBDE23B" w14:textId="629EEFE8" w:rsidR="008F474C" w:rsidRPr="00D104B4" w:rsidRDefault="008F474C" w:rsidP="00525EE2">
            <w:pPr>
              <w:jc w:val="center"/>
            </w:pPr>
            <w:r w:rsidRPr="00BB6E3E">
              <w:t>$</w:t>
            </w:r>
            <w:r w:rsidR="00DA30F6">
              <w:t>284,050</w:t>
            </w:r>
          </w:p>
        </w:tc>
      </w:tr>
      <w:tr w:rsidR="008F474C" w:rsidRPr="0063792C" w14:paraId="70840B35" w14:textId="77777777" w:rsidTr="00525EE2">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4F3F536" w14:textId="77777777" w:rsidR="008F474C" w:rsidRPr="0063792C" w:rsidRDefault="008F474C" w:rsidP="00525EE2">
            <w:pPr>
              <w:keepNext/>
              <w:jc w:val="center"/>
              <w:rPr>
                <w:highlight w:val="cyan"/>
              </w:rPr>
            </w:pPr>
            <w:r>
              <w:t>Sales and Marketing (2)</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E12BA6A" w14:textId="4DFE9714" w:rsidR="008F474C" w:rsidRPr="00DA30F6" w:rsidRDefault="00DA30F6" w:rsidP="00525EE2">
            <w:pPr>
              <w:jc w:val="center"/>
            </w:pPr>
            <w:r w:rsidRPr="00DA30F6">
              <w:t>38</w:t>
            </w:r>
            <w:r w:rsidR="008F474C" w:rsidRPr="00DA30F6">
              <w:t>%</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F8624E9" w14:textId="65D55359" w:rsidR="008F474C" w:rsidRPr="00DA30F6" w:rsidRDefault="008F474C" w:rsidP="00525EE2">
            <w:pPr>
              <w:jc w:val="center"/>
            </w:pPr>
            <w:r w:rsidRPr="00DA30F6">
              <w:t>$</w:t>
            </w:r>
            <w:r w:rsidR="00DA30F6" w:rsidRPr="00DA30F6">
              <w:t>19,000</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842E585" w14:textId="43C8C203" w:rsidR="008F474C" w:rsidRPr="00DA30F6" w:rsidRDefault="00DA30F6" w:rsidP="00525EE2">
            <w:pPr>
              <w:jc w:val="center"/>
            </w:pPr>
            <w:r w:rsidRPr="00DA30F6">
              <w:t>48</w:t>
            </w:r>
            <w:r w:rsidR="008F474C" w:rsidRPr="00DA30F6">
              <w:t>%</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96C0837" w14:textId="02392ABC" w:rsidR="008F474C" w:rsidRPr="00CC3A4E" w:rsidRDefault="008F474C" w:rsidP="00525EE2">
            <w:pPr>
              <w:jc w:val="center"/>
              <w:rPr>
                <w:highlight w:val="yellow"/>
              </w:rPr>
            </w:pPr>
            <w:r w:rsidRPr="00D104B4">
              <w:t>$</w:t>
            </w:r>
            <w:r w:rsidR="00DA30F6">
              <w:t>592,800</w:t>
            </w:r>
          </w:p>
        </w:tc>
      </w:tr>
      <w:tr w:rsidR="008F474C" w:rsidRPr="0063792C" w14:paraId="13318E71" w14:textId="77777777" w:rsidTr="00525EE2">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DD129C1" w14:textId="6845CF3E" w:rsidR="008F474C" w:rsidRPr="00CC3A4E" w:rsidRDefault="008F474C" w:rsidP="00525EE2">
            <w:pPr>
              <w:keepNext/>
              <w:jc w:val="center"/>
            </w:pPr>
            <w:r>
              <w:t>General Working Capital</w:t>
            </w:r>
            <w:r w:rsidR="00DA30F6">
              <w:t xml:space="preserve"> (3)</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C3BC912" w14:textId="0E7781E5" w:rsidR="008F474C" w:rsidRPr="00DA30F6" w:rsidRDefault="00DA30F6" w:rsidP="00525EE2">
            <w:pPr>
              <w:jc w:val="center"/>
            </w:pPr>
            <w:r w:rsidRPr="00DA30F6">
              <w:t>19</w:t>
            </w:r>
            <w:r w:rsidR="008F474C" w:rsidRPr="00DA30F6">
              <w:t>%</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C9DB065" w14:textId="3A6732DF" w:rsidR="008F474C" w:rsidRPr="00DA30F6" w:rsidRDefault="008F474C" w:rsidP="00525EE2">
            <w:pPr>
              <w:jc w:val="center"/>
            </w:pPr>
            <w:r w:rsidRPr="00DA30F6">
              <w:t>$</w:t>
            </w:r>
            <w:r w:rsidR="00DA30F6" w:rsidRPr="00DA30F6">
              <w:t>9,500</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885125E" w14:textId="5D37F131" w:rsidR="008F474C" w:rsidRPr="00DA30F6" w:rsidRDefault="00DA30F6" w:rsidP="00525EE2">
            <w:pPr>
              <w:jc w:val="center"/>
            </w:pPr>
            <w:r w:rsidRPr="00DA30F6">
              <w:t>23</w:t>
            </w:r>
            <w:r w:rsidR="008F474C" w:rsidRPr="00DA30F6">
              <w:t>%</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41E8DC5" w14:textId="5103E299" w:rsidR="008F474C" w:rsidRPr="00CC3A4E" w:rsidRDefault="008F474C" w:rsidP="00525EE2">
            <w:pPr>
              <w:jc w:val="center"/>
              <w:rPr>
                <w:highlight w:val="yellow"/>
              </w:rPr>
            </w:pPr>
            <w:r>
              <w:t>$</w:t>
            </w:r>
            <w:r w:rsidR="00DA30F6">
              <w:t>284,050</w:t>
            </w:r>
          </w:p>
        </w:tc>
      </w:tr>
      <w:tr w:rsidR="008F474C" w:rsidRPr="0063792C" w14:paraId="6205FFBF" w14:textId="77777777" w:rsidTr="00525EE2">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6F3250A7" w14:textId="77777777" w:rsidR="008F474C" w:rsidRPr="0063792C" w:rsidRDefault="008F474C" w:rsidP="00525EE2">
            <w:pPr>
              <w:jc w:val="center"/>
            </w:pPr>
            <w:r w:rsidRPr="0063792C">
              <w:rPr>
                <w:b/>
                <w:bCs/>
              </w:rPr>
              <w:t>Total</w:t>
            </w:r>
          </w:p>
        </w:tc>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784CFB12" w14:textId="77777777" w:rsidR="008F474C" w:rsidRPr="0063792C" w:rsidRDefault="008F474C" w:rsidP="00525EE2">
            <w:pPr>
              <w:jc w:val="center"/>
            </w:pPr>
            <w:r w:rsidRPr="0063792C">
              <w:rPr>
                <w:b/>
                <w:bCs/>
              </w:rPr>
              <w:t>100%</w:t>
            </w:r>
          </w:p>
        </w:tc>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3C48CAAA" w14:textId="547B938B" w:rsidR="008F474C" w:rsidRPr="0063792C" w:rsidRDefault="008F474C" w:rsidP="00525EE2">
            <w:pPr>
              <w:jc w:val="center"/>
            </w:pPr>
            <w:r w:rsidRPr="0063792C">
              <w:rPr>
                <w:b/>
                <w:bCs/>
              </w:rPr>
              <w:t>$5</w:t>
            </w:r>
            <w:r w:rsidR="00416EB0">
              <w:rPr>
                <w:b/>
                <w:bCs/>
              </w:rPr>
              <w:t>0</w:t>
            </w:r>
            <w:r w:rsidRPr="0063792C">
              <w:rPr>
                <w:b/>
                <w:bCs/>
              </w:rPr>
              <w:t>,000</w:t>
            </w:r>
          </w:p>
        </w:tc>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4F93AF9A" w14:textId="77777777" w:rsidR="008F474C" w:rsidRPr="0063792C" w:rsidRDefault="008F474C" w:rsidP="00525EE2">
            <w:pPr>
              <w:jc w:val="center"/>
            </w:pPr>
            <w:r w:rsidRPr="0063792C">
              <w:rPr>
                <w:b/>
                <w:bCs/>
              </w:rPr>
              <w:t>100%</w:t>
            </w:r>
          </w:p>
        </w:tc>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6FC48A99" w14:textId="4475A3E2" w:rsidR="008F474C" w:rsidRPr="0063792C" w:rsidRDefault="008F474C" w:rsidP="00525EE2">
            <w:pPr>
              <w:jc w:val="center"/>
            </w:pPr>
            <w:r w:rsidRPr="0063792C">
              <w:rPr>
                <w:b/>
                <w:bCs/>
              </w:rPr>
              <w:t>$1,</w:t>
            </w:r>
            <w:r w:rsidR="00982050">
              <w:rPr>
                <w:b/>
                <w:bCs/>
              </w:rPr>
              <w:t>235</w:t>
            </w:r>
            <w:r w:rsidRPr="0063792C">
              <w:rPr>
                <w:b/>
                <w:bCs/>
              </w:rPr>
              <w:t>,000</w:t>
            </w:r>
          </w:p>
        </w:tc>
      </w:tr>
    </w:tbl>
    <w:p w14:paraId="1B313F72" w14:textId="77777777" w:rsidR="008F474C" w:rsidRDefault="008F474C" w:rsidP="008F474C"/>
    <w:p w14:paraId="5C75B01D" w14:textId="78A4DA11" w:rsidR="00DC0ACF" w:rsidRDefault="00DC0ACF" w:rsidP="00DC0ACF">
      <w:r w:rsidRPr="0063792C">
        <w:t xml:space="preserve">The </w:t>
      </w:r>
      <w:r w:rsidR="00416EB0">
        <w:rPr>
          <w:bCs/>
        </w:rPr>
        <w:t>Issuer</w:t>
      </w:r>
      <w:r w:rsidRPr="0063792C">
        <w:t xml:space="preserve"> has discretion to alter the use of proceeds set forth above to adhere to the </w:t>
      </w:r>
      <w:r w:rsidR="00416EB0">
        <w:rPr>
          <w:bCs/>
        </w:rPr>
        <w:t>Issuer</w:t>
      </w:r>
      <w:r w:rsidRPr="0063792C">
        <w:t xml:space="preserve">’s business plan and liquidity requirements. For example, economic conditions may alter the </w:t>
      </w:r>
      <w:r w:rsidR="00416EB0">
        <w:rPr>
          <w:bCs/>
        </w:rPr>
        <w:t>Issuer</w:t>
      </w:r>
      <w:r w:rsidRPr="0063792C">
        <w:t>’s general marketing or general working capital requirements.</w:t>
      </w:r>
    </w:p>
    <w:p w14:paraId="29F236E8" w14:textId="77777777" w:rsidR="00DC0ACF" w:rsidRPr="0063792C" w:rsidRDefault="00DC0ACF" w:rsidP="00DC0ACF"/>
    <w:p w14:paraId="4C312B1C" w14:textId="35BEEA1E" w:rsidR="00DC0ACF" w:rsidRPr="0063792C" w:rsidRDefault="00DC0ACF" w:rsidP="00DC0ACF">
      <w:r w:rsidRPr="0093091B">
        <w:t xml:space="preserve">Set forth below are reasonably specific descriptions of how we intend to use the net proceeds of this Offering for any category </w:t>
      </w:r>
      <w:r w:rsidR="00416EB0">
        <w:t xml:space="preserve">of at least </w:t>
      </w:r>
      <w:r w:rsidRPr="0093091B">
        <w:t>ten percent (10%) in the table above</w:t>
      </w:r>
      <w:r w:rsidR="00A35C98" w:rsidRPr="00A35C98">
        <w:t xml:space="preserve"> </w:t>
      </w:r>
      <w:r w:rsidR="00416EB0">
        <w:t xml:space="preserve">so as </w:t>
      </w:r>
      <w:r w:rsidR="00A35C98" w:rsidRPr="001F5D9B">
        <w:t>to assist you in understanding how the offering proceeds will be used</w:t>
      </w:r>
      <w:r w:rsidRPr="0093091B">
        <w:t>.</w:t>
      </w:r>
    </w:p>
    <w:p w14:paraId="154FC04B" w14:textId="77777777" w:rsidR="00DC0ACF" w:rsidRPr="0063792C" w:rsidRDefault="00DC0ACF" w:rsidP="00DC0ACF"/>
    <w:p w14:paraId="3E2C14D0" w14:textId="363BDF58" w:rsidR="0093091B" w:rsidRPr="00DA30F6" w:rsidRDefault="0093091B" w:rsidP="0093091B">
      <w:bookmarkStart w:id="39" w:name="_Hlk66617789"/>
      <w:bookmarkStart w:id="40" w:name="_Toc103593656"/>
      <w:r w:rsidRPr="00DA30F6">
        <w:t xml:space="preserve">(1) We will continue to invest heavily in technology and product development. We currently have a small engineering team that these funds will be used to hire at least one product manager and two full stack engineers. </w:t>
      </w:r>
    </w:p>
    <w:p w14:paraId="6D01E717" w14:textId="77777777" w:rsidR="00DA30F6" w:rsidRPr="00DA30F6" w:rsidRDefault="00DA30F6" w:rsidP="0093091B"/>
    <w:p w14:paraId="46CB0D89" w14:textId="608B549E" w:rsidR="0093091B" w:rsidRPr="00DA30F6" w:rsidRDefault="0093091B" w:rsidP="0093091B">
      <w:r w:rsidRPr="00DA30F6">
        <w:t xml:space="preserve">(2) Our sales and marketing efforts are handled by a </w:t>
      </w:r>
      <w:r w:rsidR="00DA30F6" w:rsidRPr="00DA30F6">
        <w:t>third party agency</w:t>
      </w:r>
      <w:r w:rsidRPr="00DA30F6">
        <w:t xml:space="preserve">. We will use the proceeds to hire </w:t>
      </w:r>
      <w:r w:rsidR="00DA30F6" w:rsidRPr="00DA30F6">
        <w:t xml:space="preserve">a marketing team to handle our marketing and advertising efforts in house. </w:t>
      </w:r>
      <w:r w:rsidR="00DA30F6" w:rsidRPr="00DA30F6">
        <w:rPr>
          <w:color w:val="000000"/>
        </w:rPr>
        <w:t>We are also seeing tremendous results in our paid marketing efforts, so we plan to use the funds to double down on these marketing efforts.</w:t>
      </w:r>
      <w:r w:rsidRPr="00DA30F6">
        <w:t xml:space="preserve">  </w:t>
      </w:r>
    </w:p>
    <w:p w14:paraId="76D31117" w14:textId="77777777" w:rsidR="0093091B" w:rsidRPr="006C5E8A" w:rsidRDefault="0093091B" w:rsidP="0093091B">
      <w:pPr>
        <w:rPr>
          <w:highlight w:val="yellow"/>
        </w:rPr>
      </w:pPr>
    </w:p>
    <w:p w14:paraId="1A4394C5" w14:textId="6E7D15B3" w:rsidR="0093091B" w:rsidRDefault="0093091B" w:rsidP="0093091B">
      <w:r w:rsidRPr="00F36800">
        <w:t xml:space="preserve">(3) These proceeds will be used </w:t>
      </w:r>
      <w:r w:rsidR="00DA30F6" w:rsidRPr="00F36800">
        <w:t xml:space="preserve">for general working capital purposes to operate the business, including, but not limited to, building out our infrastructure and </w:t>
      </w:r>
      <w:r w:rsidRPr="00F36800">
        <w:t>hir</w:t>
      </w:r>
      <w:r w:rsidR="00DA30F6" w:rsidRPr="00F36800">
        <w:t>ing</w:t>
      </w:r>
      <w:r w:rsidRPr="00F36800">
        <w:t xml:space="preserve"> additional </w:t>
      </w:r>
      <w:r w:rsidR="00853E35">
        <w:t>personnel</w:t>
      </w:r>
      <w:r w:rsidRPr="00F36800">
        <w:t xml:space="preserve"> to assist with </w:t>
      </w:r>
      <w:r w:rsidR="00DA30F6" w:rsidRPr="00F36800">
        <w:t xml:space="preserve">a wide range of administrative and operational </w:t>
      </w:r>
      <w:r w:rsidRPr="00F36800">
        <w:t>functions.</w:t>
      </w:r>
      <w:r>
        <w:t xml:space="preserve"> </w:t>
      </w:r>
      <w:r w:rsidRPr="0063792C">
        <w:t xml:space="preserve"> </w:t>
      </w:r>
    </w:p>
    <w:bookmarkEnd w:id="39"/>
    <w:p w14:paraId="1A8F9925" w14:textId="77777777" w:rsidR="0093091B" w:rsidRDefault="0093091B">
      <w:pPr>
        <w:jc w:val="left"/>
        <w:rPr>
          <w:b/>
        </w:rPr>
      </w:pPr>
      <w:r>
        <w:br w:type="page"/>
      </w:r>
    </w:p>
    <w:p w14:paraId="2F90BF09" w14:textId="0AB69C1C" w:rsidR="00DC0ACF" w:rsidRPr="0063792C" w:rsidRDefault="00DC0ACF" w:rsidP="00DC0ACF">
      <w:pPr>
        <w:pStyle w:val="Heading1"/>
        <w:jc w:val="center"/>
      </w:pPr>
      <w:r w:rsidRPr="0063792C">
        <w:lastRenderedPageBreak/>
        <w:t>DIRECTORS, OFFICERS, MANAGERS</w:t>
      </w:r>
      <w:r>
        <w:t>, AND KEY PERSONS</w:t>
      </w:r>
      <w:bookmarkEnd w:id="40"/>
    </w:p>
    <w:p w14:paraId="5EFD822D" w14:textId="77777777" w:rsidR="00DC0ACF" w:rsidRPr="0063792C" w:rsidRDefault="00DC0ACF" w:rsidP="00DC0ACF"/>
    <w:p w14:paraId="3E77E43F" w14:textId="5C6FF9BB" w:rsidR="00DC0ACF" w:rsidRDefault="00DC0ACF" w:rsidP="00DC0ACF">
      <w:r w:rsidRPr="0063792C">
        <w:t>The directors, officers, managers</w:t>
      </w:r>
      <w:r>
        <w:t>, and key persons</w:t>
      </w:r>
      <w:r w:rsidRPr="0063792C">
        <w:t xml:space="preserve"> of the </w:t>
      </w:r>
      <w:r w:rsidR="00416EB0">
        <w:rPr>
          <w:bCs/>
        </w:rPr>
        <w:t>Issuer</w:t>
      </w:r>
      <w:r w:rsidRPr="0063792C">
        <w:t xml:space="preserve"> are listed below along with all positions and offices held at the </w:t>
      </w:r>
      <w:r w:rsidR="00416EB0">
        <w:rPr>
          <w:bCs/>
        </w:rPr>
        <w:t>Issuer</w:t>
      </w:r>
      <w:r w:rsidRPr="0063792C">
        <w:t xml:space="preserve"> and their principal occupation and employment responsibilities for the past three (3) years.</w:t>
      </w:r>
    </w:p>
    <w:p w14:paraId="187C0DF2" w14:textId="77777777" w:rsidR="00DC0ACF" w:rsidRPr="0063792C" w:rsidRDefault="00DC0ACF" w:rsidP="00DC0ACF"/>
    <w:tbl>
      <w:tblPr>
        <w:tblStyle w:val="9"/>
        <w:tblW w:w="9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5"/>
        <w:gridCol w:w="2860"/>
        <w:gridCol w:w="3080"/>
        <w:gridCol w:w="1619"/>
      </w:tblGrid>
      <w:tr w:rsidR="0093091B" w:rsidRPr="0063792C" w14:paraId="17F0B5A0" w14:textId="77777777" w:rsidTr="00F25D84">
        <w:tc>
          <w:tcPr>
            <w:tcW w:w="1795" w:type="dxa"/>
            <w:shd w:val="clear" w:color="auto" w:fill="auto"/>
          </w:tcPr>
          <w:p w14:paraId="32F6A6FE" w14:textId="77777777" w:rsidR="0093091B" w:rsidRPr="0063792C" w:rsidRDefault="0093091B" w:rsidP="00525EE2">
            <w:pPr>
              <w:rPr>
                <w:b/>
              </w:rPr>
            </w:pPr>
            <w:r w:rsidRPr="0063792C">
              <w:rPr>
                <w:b/>
              </w:rPr>
              <w:t>Name</w:t>
            </w:r>
          </w:p>
        </w:tc>
        <w:tc>
          <w:tcPr>
            <w:tcW w:w="2860" w:type="dxa"/>
            <w:shd w:val="clear" w:color="auto" w:fill="auto"/>
          </w:tcPr>
          <w:p w14:paraId="3B7123F5" w14:textId="44A2B8BD" w:rsidR="0093091B" w:rsidRPr="0063792C" w:rsidRDefault="0093091B" w:rsidP="00525EE2">
            <w:pPr>
              <w:rPr>
                <w:b/>
              </w:rPr>
            </w:pPr>
            <w:r w:rsidRPr="0063792C">
              <w:rPr>
                <w:b/>
              </w:rPr>
              <w:t xml:space="preserve">Positions and Offices Held at the </w:t>
            </w:r>
            <w:r w:rsidR="00856D91">
              <w:rPr>
                <w:b/>
              </w:rPr>
              <w:t>Issuer</w:t>
            </w:r>
          </w:p>
        </w:tc>
        <w:tc>
          <w:tcPr>
            <w:tcW w:w="3080" w:type="dxa"/>
            <w:shd w:val="clear" w:color="auto" w:fill="auto"/>
          </w:tcPr>
          <w:p w14:paraId="7E7D44FE" w14:textId="77777777" w:rsidR="0093091B" w:rsidRPr="0063792C" w:rsidRDefault="0093091B" w:rsidP="00525EE2">
            <w:pPr>
              <w:rPr>
                <w:b/>
              </w:rPr>
            </w:pPr>
            <w:r w:rsidRPr="0063792C">
              <w:rPr>
                <w:b/>
              </w:rPr>
              <w:t>Principal Occupation and Employment Responsibilities for the Last Three (3) Years</w:t>
            </w:r>
          </w:p>
        </w:tc>
        <w:tc>
          <w:tcPr>
            <w:tcW w:w="1619" w:type="dxa"/>
          </w:tcPr>
          <w:p w14:paraId="26CCC00F" w14:textId="77777777" w:rsidR="0093091B" w:rsidRPr="0063792C" w:rsidRDefault="0093091B" w:rsidP="00525EE2">
            <w:pPr>
              <w:rPr>
                <w:b/>
              </w:rPr>
            </w:pPr>
            <w:r w:rsidRPr="0063792C">
              <w:rPr>
                <w:b/>
              </w:rPr>
              <w:t>Education</w:t>
            </w:r>
          </w:p>
        </w:tc>
      </w:tr>
      <w:tr w:rsidR="00F25D84" w:rsidRPr="0063792C" w14:paraId="3E1C6BD7" w14:textId="77777777" w:rsidTr="00F25D84">
        <w:tc>
          <w:tcPr>
            <w:tcW w:w="1795" w:type="dxa"/>
            <w:shd w:val="clear" w:color="auto" w:fill="auto"/>
          </w:tcPr>
          <w:p w14:paraId="08747B1E" w14:textId="437C43E7" w:rsidR="00F25D84" w:rsidRPr="00F25D84" w:rsidRDefault="00F25D84" w:rsidP="00F25D84">
            <w:pPr>
              <w:rPr>
                <w:highlight w:val="yellow"/>
              </w:rPr>
            </w:pPr>
            <w:r w:rsidRPr="00F25D84">
              <w:rPr>
                <w:color w:val="000000"/>
              </w:rPr>
              <w:t>Sanjay Nediyara</w:t>
            </w:r>
          </w:p>
        </w:tc>
        <w:tc>
          <w:tcPr>
            <w:tcW w:w="2860" w:type="dxa"/>
            <w:shd w:val="clear" w:color="auto" w:fill="auto"/>
          </w:tcPr>
          <w:p w14:paraId="77A3E604" w14:textId="16CDA4CA" w:rsidR="00F25D84" w:rsidRPr="00F25D84" w:rsidRDefault="00F25D84" w:rsidP="00F25D84">
            <w:pPr>
              <w:rPr>
                <w:highlight w:val="yellow"/>
              </w:rPr>
            </w:pPr>
            <w:r w:rsidRPr="00F25D84">
              <w:rPr>
                <w:color w:val="000000"/>
              </w:rPr>
              <w:t>CEO, Founder</w:t>
            </w:r>
            <w:r>
              <w:rPr>
                <w:color w:val="000000"/>
              </w:rPr>
              <w:t xml:space="preserve"> and Director</w:t>
            </w:r>
          </w:p>
        </w:tc>
        <w:tc>
          <w:tcPr>
            <w:tcW w:w="3080" w:type="dxa"/>
            <w:shd w:val="clear" w:color="auto" w:fill="auto"/>
          </w:tcPr>
          <w:p w14:paraId="0F4A400D" w14:textId="4B3C8C6A" w:rsidR="00F25D84" w:rsidRPr="00F25D84" w:rsidRDefault="00F25D84" w:rsidP="00F25D84">
            <w:pPr>
              <w:pStyle w:val="NormalWeb"/>
            </w:pPr>
            <w:r w:rsidRPr="00F25D84">
              <w:rPr>
                <w:color w:val="000000"/>
                <w:sz w:val="20"/>
                <w:szCs w:val="20"/>
              </w:rPr>
              <w:t>CEO</w:t>
            </w:r>
            <w:r>
              <w:rPr>
                <w:color w:val="000000"/>
                <w:sz w:val="20"/>
                <w:szCs w:val="20"/>
              </w:rPr>
              <w:t xml:space="preserve">, </w:t>
            </w:r>
            <w:r w:rsidRPr="00F25D84">
              <w:rPr>
                <w:color w:val="000000"/>
                <w:sz w:val="20"/>
                <w:szCs w:val="20"/>
              </w:rPr>
              <w:t xml:space="preserve">Founder </w:t>
            </w:r>
            <w:r>
              <w:rPr>
                <w:color w:val="000000"/>
                <w:sz w:val="20"/>
                <w:szCs w:val="20"/>
              </w:rPr>
              <w:t xml:space="preserve">and Director </w:t>
            </w:r>
            <w:r w:rsidRPr="00F25D84">
              <w:rPr>
                <w:color w:val="000000"/>
                <w:sz w:val="20"/>
                <w:szCs w:val="20"/>
              </w:rPr>
              <w:t>of StartGlobal</w:t>
            </w:r>
            <w:r>
              <w:rPr>
                <w:color w:val="000000"/>
                <w:sz w:val="20"/>
                <w:szCs w:val="20"/>
              </w:rPr>
              <w:t>,</w:t>
            </w:r>
            <w:r w:rsidRPr="00F25D84">
              <w:rPr>
                <w:color w:val="000000"/>
                <w:sz w:val="20"/>
                <w:szCs w:val="20"/>
              </w:rPr>
              <w:t xml:space="preserve"> Inc., 2019 – Present</w:t>
            </w:r>
          </w:p>
          <w:p w14:paraId="2E87E407" w14:textId="77777777" w:rsidR="00F25D84" w:rsidRPr="00F25D84" w:rsidRDefault="00F25D84" w:rsidP="00F25D84"/>
          <w:p w14:paraId="2E43A7F3" w14:textId="77777777" w:rsidR="00F25D84" w:rsidRPr="00F25D84" w:rsidRDefault="00F25D84" w:rsidP="00F25D84">
            <w:pPr>
              <w:pStyle w:val="NormalWeb"/>
            </w:pPr>
            <w:r w:rsidRPr="00F25D84">
              <w:rPr>
                <w:color w:val="000000"/>
                <w:sz w:val="20"/>
                <w:szCs w:val="20"/>
              </w:rPr>
              <w:t>Responsible for strategy and general CEO responsibilities</w:t>
            </w:r>
          </w:p>
          <w:p w14:paraId="0152CBEC" w14:textId="77777777" w:rsidR="00F25D84" w:rsidRPr="00F25D84" w:rsidRDefault="00F25D84" w:rsidP="00F25D84">
            <w:pPr>
              <w:rPr>
                <w:highlight w:val="yellow"/>
              </w:rPr>
            </w:pPr>
          </w:p>
        </w:tc>
        <w:tc>
          <w:tcPr>
            <w:tcW w:w="1619" w:type="dxa"/>
          </w:tcPr>
          <w:p w14:paraId="33A7EAFF" w14:textId="77777777" w:rsidR="00F25D84" w:rsidRDefault="00D341CE" w:rsidP="00F25D84">
            <w:pPr>
              <w:jc w:val="left"/>
              <w:rPr>
                <w:color w:val="000000"/>
                <w:highlight w:val="yellow"/>
              </w:rPr>
            </w:pPr>
            <w:r>
              <w:rPr>
                <w:color w:val="000000"/>
              </w:rPr>
              <w:t>Completed</w:t>
            </w:r>
            <w:r w:rsidR="00F25D84">
              <w:rPr>
                <w:color w:val="000000"/>
              </w:rPr>
              <w:t xml:space="preserve"> </w:t>
            </w:r>
            <w:r w:rsidR="00F25D84" w:rsidRPr="00F25D84">
              <w:rPr>
                <w:color w:val="000000"/>
              </w:rPr>
              <w:t>Government Engineering College, Thrissur</w:t>
            </w:r>
            <w:r w:rsidR="00F25D84">
              <w:rPr>
                <w:color w:val="000000"/>
              </w:rPr>
              <w:t>,</w:t>
            </w:r>
            <w:r w:rsidR="00F25D84" w:rsidRPr="00F25D84">
              <w:rPr>
                <w:color w:val="000000"/>
              </w:rPr>
              <w:t xml:space="preserve"> Computer Science and Engineering</w:t>
            </w:r>
            <w:r w:rsidR="00F25D84">
              <w:rPr>
                <w:color w:val="000000"/>
              </w:rPr>
              <w:t>,</w:t>
            </w:r>
            <w:r w:rsidR="00F25D84" w:rsidRPr="00F25D84">
              <w:rPr>
                <w:color w:val="000000"/>
              </w:rPr>
              <w:t xml:space="preserve"> </w:t>
            </w:r>
            <w:r w:rsidR="00F25D84" w:rsidRPr="00853E35">
              <w:rPr>
                <w:color w:val="000000"/>
              </w:rPr>
              <w:t>2011</w:t>
            </w:r>
            <w:r w:rsidRPr="00853E35">
              <w:rPr>
                <w:color w:val="000000"/>
              </w:rPr>
              <w:t xml:space="preserve"> (no degree received)</w:t>
            </w:r>
          </w:p>
          <w:p w14:paraId="6065D800" w14:textId="5ED1E364" w:rsidR="00F274FD" w:rsidRPr="00F25D84" w:rsidRDefault="00F274FD" w:rsidP="00F25D84">
            <w:pPr>
              <w:jc w:val="left"/>
              <w:rPr>
                <w:highlight w:val="cyan"/>
              </w:rPr>
            </w:pPr>
          </w:p>
        </w:tc>
      </w:tr>
      <w:tr w:rsidR="00F25D84" w:rsidRPr="0063792C" w14:paraId="67DB79CD" w14:textId="77777777" w:rsidTr="00F25D84">
        <w:tc>
          <w:tcPr>
            <w:tcW w:w="1795" w:type="dxa"/>
            <w:shd w:val="clear" w:color="auto" w:fill="auto"/>
          </w:tcPr>
          <w:p w14:paraId="0CFA259A" w14:textId="533D721D" w:rsidR="00F25D84" w:rsidRPr="00F25D84" w:rsidRDefault="00F25D84" w:rsidP="00F25D84">
            <w:pPr>
              <w:rPr>
                <w:color w:val="000000"/>
              </w:rPr>
            </w:pPr>
            <w:r w:rsidRPr="00F25D84">
              <w:rPr>
                <w:color w:val="000000"/>
              </w:rPr>
              <w:t>Sandeep Suresh</w:t>
            </w:r>
          </w:p>
        </w:tc>
        <w:tc>
          <w:tcPr>
            <w:tcW w:w="2860" w:type="dxa"/>
            <w:shd w:val="clear" w:color="auto" w:fill="auto"/>
          </w:tcPr>
          <w:p w14:paraId="738145C1" w14:textId="774FA331" w:rsidR="00F25D84" w:rsidRPr="00F25D84" w:rsidRDefault="00F25D84" w:rsidP="00F25D84">
            <w:pPr>
              <w:rPr>
                <w:color w:val="000000"/>
              </w:rPr>
            </w:pPr>
            <w:r w:rsidRPr="00F25D84">
              <w:rPr>
                <w:color w:val="000000"/>
              </w:rPr>
              <w:t>CTO</w:t>
            </w:r>
          </w:p>
        </w:tc>
        <w:tc>
          <w:tcPr>
            <w:tcW w:w="3080" w:type="dxa"/>
            <w:shd w:val="clear" w:color="auto" w:fill="auto"/>
          </w:tcPr>
          <w:p w14:paraId="453474C7" w14:textId="652FFDF4" w:rsidR="00F25D84" w:rsidRPr="00F25D84" w:rsidRDefault="00F25D84" w:rsidP="00F25D84">
            <w:pPr>
              <w:pStyle w:val="NormalWeb"/>
            </w:pPr>
            <w:r w:rsidRPr="00F25D84">
              <w:rPr>
                <w:color w:val="000000"/>
                <w:sz w:val="20"/>
                <w:szCs w:val="20"/>
              </w:rPr>
              <w:t xml:space="preserve">CTO of StartGlobal, Inc., </w:t>
            </w:r>
            <w:r>
              <w:rPr>
                <w:color w:val="000000"/>
                <w:sz w:val="20"/>
                <w:szCs w:val="20"/>
              </w:rPr>
              <w:t xml:space="preserve"> </w:t>
            </w:r>
            <w:r w:rsidRPr="00F25D84">
              <w:rPr>
                <w:color w:val="000000"/>
                <w:sz w:val="20"/>
                <w:szCs w:val="20"/>
              </w:rPr>
              <w:br/>
              <w:t>2019 – Present</w:t>
            </w:r>
          </w:p>
          <w:p w14:paraId="0870D861" w14:textId="77777777" w:rsidR="00F25D84" w:rsidRPr="00F25D84" w:rsidRDefault="00F25D84" w:rsidP="00F25D84"/>
          <w:p w14:paraId="6C29ABCC" w14:textId="77777777" w:rsidR="00F25D84" w:rsidRPr="00F25D84" w:rsidRDefault="00F25D84" w:rsidP="00F25D84">
            <w:pPr>
              <w:pStyle w:val="NormalWeb"/>
            </w:pPr>
            <w:r w:rsidRPr="00F25D84">
              <w:rPr>
                <w:color w:val="000000"/>
                <w:sz w:val="20"/>
                <w:szCs w:val="20"/>
              </w:rPr>
              <w:t>Responsible for product development and Engineering.</w:t>
            </w:r>
          </w:p>
          <w:p w14:paraId="415E01E3" w14:textId="77777777" w:rsidR="00F25D84" w:rsidRPr="00F25D84" w:rsidRDefault="00F25D84" w:rsidP="00F25D84">
            <w:pPr>
              <w:pStyle w:val="NormalWeb"/>
              <w:rPr>
                <w:color w:val="000000"/>
                <w:sz w:val="20"/>
                <w:szCs w:val="20"/>
              </w:rPr>
            </w:pPr>
          </w:p>
        </w:tc>
        <w:tc>
          <w:tcPr>
            <w:tcW w:w="1619" w:type="dxa"/>
          </w:tcPr>
          <w:p w14:paraId="2AA80665" w14:textId="77777777" w:rsidR="00F25D84" w:rsidRDefault="00F25D84" w:rsidP="00F25D84">
            <w:pPr>
              <w:jc w:val="left"/>
              <w:rPr>
                <w:color w:val="000000"/>
              </w:rPr>
            </w:pPr>
            <w:r w:rsidRPr="00F25D84">
              <w:rPr>
                <w:color w:val="000000"/>
              </w:rPr>
              <w:t>Government Engineering College, Thrissur</w:t>
            </w:r>
            <w:r>
              <w:rPr>
                <w:color w:val="000000"/>
              </w:rPr>
              <w:t>,</w:t>
            </w:r>
            <w:r w:rsidRPr="00F25D84">
              <w:rPr>
                <w:color w:val="000000"/>
              </w:rPr>
              <w:t xml:space="preserve"> Computer Science and Engineering</w:t>
            </w:r>
            <w:r>
              <w:rPr>
                <w:color w:val="000000"/>
              </w:rPr>
              <w:t>,</w:t>
            </w:r>
            <w:r w:rsidRPr="00F25D84">
              <w:rPr>
                <w:color w:val="000000"/>
              </w:rPr>
              <w:t xml:space="preserve"> 2011</w:t>
            </w:r>
          </w:p>
          <w:p w14:paraId="4E7B3635" w14:textId="7360703D" w:rsidR="00F274FD" w:rsidRPr="00F25D84" w:rsidRDefault="00F274FD" w:rsidP="00F25D84">
            <w:pPr>
              <w:jc w:val="left"/>
              <w:rPr>
                <w:color w:val="000000"/>
                <w:highlight w:val="yellow"/>
              </w:rPr>
            </w:pPr>
          </w:p>
        </w:tc>
      </w:tr>
      <w:tr w:rsidR="00F25D84" w:rsidRPr="0063792C" w14:paraId="5D891A64" w14:textId="77777777" w:rsidTr="00F25D84">
        <w:tc>
          <w:tcPr>
            <w:tcW w:w="1795" w:type="dxa"/>
            <w:shd w:val="clear" w:color="auto" w:fill="auto"/>
          </w:tcPr>
          <w:p w14:paraId="633E0009" w14:textId="5BD953EF" w:rsidR="00F25D84" w:rsidRPr="00F25D84" w:rsidRDefault="00F25D84" w:rsidP="00F25D84">
            <w:pPr>
              <w:rPr>
                <w:color w:val="000000"/>
              </w:rPr>
            </w:pPr>
            <w:r w:rsidRPr="00F25D84">
              <w:rPr>
                <w:color w:val="000000"/>
              </w:rPr>
              <w:t>Gautham</w:t>
            </w:r>
            <w:r w:rsidR="00853E35">
              <w:rPr>
                <w:color w:val="000000"/>
              </w:rPr>
              <w:t xml:space="preserve"> Gautham</w:t>
            </w:r>
          </w:p>
        </w:tc>
        <w:tc>
          <w:tcPr>
            <w:tcW w:w="2860" w:type="dxa"/>
            <w:shd w:val="clear" w:color="auto" w:fill="auto"/>
          </w:tcPr>
          <w:p w14:paraId="5C944491" w14:textId="324D1345" w:rsidR="00F25D84" w:rsidRPr="00F25D84" w:rsidRDefault="00F25D84" w:rsidP="00F25D84">
            <w:pPr>
              <w:rPr>
                <w:color w:val="000000"/>
              </w:rPr>
            </w:pPr>
            <w:r w:rsidRPr="00F25D84">
              <w:rPr>
                <w:color w:val="000000"/>
              </w:rPr>
              <w:t>COO</w:t>
            </w:r>
          </w:p>
        </w:tc>
        <w:tc>
          <w:tcPr>
            <w:tcW w:w="3080" w:type="dxa"/>
            <w:shd w:val="clear" w:color="auto" w:fill="auto"/>
          </w:tcPr>
          <w:p w14:paraId="51E8FEBB" w14:textId="77777777" w:rsidR="00F25D84" w:rsidRPr="00F25D84" w:rsidRDefault="00F25D84" w:rsidP="00F25D84">
            <w:pPr>
              <w:pStyle w:val="NormalWeb"/>
            </w:pPr>
            <w:r w:rsidRPr="00F25D84">
              <w:rPr>
                <w:color w:val="000000"/>
                <w:sz w:val="20"/>
                <w:szCs w:val="20"/>
              </w:rPr>
              <w:t>COO of StartGlobal, Inc., 2022– Present</w:t>
            </w:r>
          </w:p>
          <w:p w14:paraId="72811C67" w14:textId="77777777" w:rsidR="00F25D84" w:rsidRPr="00F25D84" w:rsidRDefault="00F25D84" w:rsidP="00F25D84"/>
          <w:p w14:paraId="5E2B9EC4" w14:textId="77777777" w:rsidR="00F25D84" w:rsidRPr="00F25D84" w:rsidRDefault="00F25D84" w:rsidP="00F25D84">
            <w:pPr>
              <w:pStyle w:val="NormalWeb"/>
            </w:pPr>
            <w:r w:rsidRPr="00F25D84">
              <w:rPr>
                <w:color w:val="000000"/>
                <w:sz w:val="20"/>
                <w:szCs w:val="20"/>
              </w:rPr>
              <w:t>Responsible for Operations </w:t>
            </w:r>
          </w:p>
          <w:p w14:paraId="4A76AF14" w14:textId="77777777" w:rsidR="00F25D84" w:rsidRPr="00F25D84" w:rsidRDefault="00F25D84" w:rsidP="00F25D84"/>
          <w:p w14:paraId="238A85A3" w14:textId="77777777" w:rsidR="00F25D84" w:rsidRDefault="00F25D84" w:rsidP="00F25D84">
            <w:pPr>
              <w:pStyle w:val="NormalWeb"/>
              <w:rPr>
                <w:color w:val="000000"/>
                <w:sz w:val="20"/>
                <w:szCs w:val="20"/>
              </w:rPr>
            </w:pPr>
            <w:r w:rsidRPr="00F25D84">
              <w:rPr>
                <w:color w:val="000000"/>
                <w:sz w:val="20"/>
                <w:szCs w:val="20"/>
              </w:rPr>
              <w:t>Co-</w:t>
            </w:r>
            <w:r>
              <w:rPr>
                <w:color w:val="000000"/>
                <w:sz w:val="20"/>
                <w:szCs w:val="20"/>
              </w:rPr>
              <w:t>F</w:t>
            </w:r>
            <w:r w:rsidRPr="00F25D84">
              <w:rPr>
                <w:color w:val="000000"/>
                <w:sz w:val="20"/>
                <w:szCs w:val="20"/>
              </w:rPr>
              <w:t>ounder and COO of PupilFirst (sv.co)</w:t>
            </w:r>
          </w:p>
          <w:p w14:paraId="61E15EC3" w14:textId="77777777" w:rsidR="00F25D84" w:rsidRDefault="00F25D84" w:rsidP="00F25D84">
            <w:pPr>
              <w:pStyle w:val="NormalWeb"/>
              <w:rPr>
                <w:color w:val="000000"/>
                <w:sz w:val="20"/>
                <w:szCs w:val="20"/>
              </w:rPr>
            </w:pPr>
          </w:p>
          <w:p w14:paraId="46275EFE" w14:textId="695008D7" w:rsidR="00F25D84" w:rsidRPr="00F25D84" w:rsidRDefault="00F25D84" w:rsidP="00F25D84">
            <w:pPr>
              <w:pStyle w:val="NormalWeb"/>
            </w:pPr>
            <w:r w:rsidRPr="00853E35">
              <w:rPr>
                <w:color w:val="000000"/>
                <w:sz w:val="20"/>
                <w:szCs w:val="20"/>
              </w:rPr>
              <w:t>Responsible for Operations</w:t>
            </w:r>
            <w:r w:rsidRPr="00F25D84">
              <w:rPr>
                <w:color w:val="000000"/>
                <w:sz w:val="20"/>
                <w:szCs w:val="20"/>
              </w:rPr>
              <w:t> </w:t>
            </w:r>
          </w:p>
          <w:p w14:paraId="3F174CB6" w14:textId="77777777" w:rsidR="00F25D84" w:rsidRPr="00F25D84" w:rsidRDefault="00F25D84" w:rsidP="00F25D84">
            <w:pPr>
              <w:pStyle w:val="NormalWeb"/>
              <w:rPr>
                <w:color w:val="000000"/>
                <w:sz w:val="20"/>
                <w:szCs w:val="20"/>
              </w:rPr>
            </w:pPr>
          </w:p>
        </w:tc>
        <w:tc>
          <w:tcPr>
            <w:tcW w:w="1619" w:type="dxa"/>
          </w:tcPr>
          <w:p w14:paraId="7BE6BA61" w14:textId="19852532" w:rsidR="00F25D84" w:rsidRPr="00F25D84" w:rsidRDefault="00F25D84" w:rsidP="00F25D84">
            <w:pPr>
              <w:jc w:val="left"/>
              <w:rPr>
                <w:color w:val="000000"/>
              </w:rPr>
            </w:pPr>
            <w:r w:rsidRPr="00F25D84">
              <w:rPr>
                <w:color w:val="000000"/>
              </w:rPr>
              <w:t>College of Engineering, Trivandrum</w:t>
            </w:r>
            <w:r>
              <w:rPr>
                <w:color w:val="000000"/>
              </w:rPr>
              <w:t>,</w:t>
            </w:r>
            <w:r w:rsidRPr="00F25D84">
              <w:rPr>
                <w:color w:val="000000"/>
              </w:rPr>
              <w:t xml:space="preserve"> Applied Electronics and Instrumentation Engineering</w:t>
            </w:r>
            <w:r>
              <w:rPr>
                <w:color w:val="000000"/>
              </w:rPr>
              <w:t>,</w:t>
            </w:r>
            <w:r w:rsidRPr="00F25D84">
              <w:rPr>
                <w:color w:val="000000"/>
              </w:rPr>
              <w:t xml:space="preserve"> 2009</w:t>
            </w:r>
          </w:p>
        </w:tc>
      </w:tr>
    </w:tbl>
    <w:p w14:paraId="6361F55D" w14:textId="77777777" w:rsidR="0093091B" w:rsidRDefault="0093091B" w:rsidP="0093091B"/>
    <w:p w14:paraId="400EDDF5" w14:textId="77777777" w:rsidR="0093091B" w:rsidRDefault="0093091B" w:rsidP="0093091B">
      <w:pPr>
        <w:pStyle w:val="Heading2"/>
      </w:pPr>
      <w:bookmarkStart w:id="41" w:name="_Toc45304665"/>
      <w:r>
        <w:t>Biographical Information</w:t>
      </w:r>
      <w:bookmarkEnd w:id="41"/>
    </w:p>
    <w:p w14:paraId="1565CC6F" w14:textId="77777777" w:rsidR="0093091B" w:rsidRDefault="0093091B" w:rsidP="0093091B"/>
    <w:p w14:paraId="3297BC63" w14:textId="19D7BD86" w:rsidR="00DC0ACF" w:rsidRPr="00F25D84" w:rsidRDefault="00F25D84" w:rsidP="00DC0ACF">
      <w:r w:rsidRPr="00F25D84">
        <w:rPr>
          <w:b/>
          <w:bCs/>
          <w:color w:val="000000"/>
          <w:u w:val="single"/>
        </w:rPr>
        <w:t>Sanjay Nediyara</w:t>
      </w:r>
      <w:r>
        <w:rPr>
          <w:b/>
          <w:bCs/>
          <w:color w:val="000000"/>
        </w:rPr>
        <w:t>:</w:t>
      </w:r>
      <w:r w:rsidRPr="00F25D84">
        <w:rPr>
          <w:color w:val="000000"/>
        </w:rPr>
        <w:t xml:space="preserve"> </w:t>
      </w:r>
      <w:r>
        <w:rPr>
          <w:color w:val="000000"/>
        </w:rPr>
        <w:t xml:space="preserve">Sanjay </w:t>
      </w:r>
      <w:r w:rsidRPr="00F25D84">
        <w:rPr>
          <w:color w:val="000000"/>
        </w:rPr>
        <w:t>is the CEO</w:t>
      </w:r>
      <w:r>
        <w:rPr>
          <w:color w:val="000000"/>
        </w:rPr>
        <w:t xml:space="preserve">, </w:t>
      </w:r>
      <w:r w:rsidRPr="00F25D84">
        <w:rPr>
          <w:color w:val="000000"/>
        </w:rPr>
        <w:t xml:space="preserve">Founder </w:t>
      </w:r>
      <w:r>
        <w:rPr>
          <w:color w:val="000000"/>
        </w:rPr>
        <w:t xml:space="preserve">and Director </w:t>
      </w:r>
      <w:r w:rsidRPr="00F25D84">
        <w:rPr>
          <w:color w:val="000000"/>
        </w:rPr>
        <w:t xml:space="preserve">of </w:t>
      </w:r>
      <w:r>
        <w:rPr>
          <w:color w:val="000000"/>
        </w:rPr>
        <w:t xml:space="preserve">the Issuer. He is an serial </w:t>
      </w:r>
      <w:r w:rsidRPr="00F25D84">
        <w:rPr>
          <w:color w:val="000000"/>
        </w:rPr>
        <w:t xml:space="preserve">entrepreneur </w:t>
      </w:r>
      <w:r>
        <w:rPr>
          <w:color w:val="000000"/>
        </w:rPr>
        <w:t xml:space="preserve">who has run </w:t>
      </w:r>
      <w:r w:rsidRPr="00F25D84">
        <w:rPr>
          <w:color w:val="000000"/>
        </w:rPr>
        <w:t xml:space="preserve">various business for the past 15 years. </w:t>
      </w:r>
      <w:r>
        <w:rPr>
          <w:color w:val="000000"/>
        </w:rPr>
        <w:t xml:space="preserve">Sanjay </w:t>
      </w:r>
      <w:r w:rsidRPr="00F25D84">
        <w:rPr>
          <w:color w:val="000000"/>
        </w:rPr>
        <w:t>is an active contributor in online platforms and reached over 2 million people with his work. He ha</w:t>
      </w:r>
      <w:r>
        <w:rPr>
          <w:color w:val="000000"/>
        </w:rPr>
        <w:t>s</w:t>
      </w:r>
      <w:r w:rsidRPr="00F25D84">
        <w:rPr>
          <w:color w:val="000000"/>
        </w:rPr>
        <w:t xml:space="preserve"> previously worked with companies like Google and </w:t>
      </w:r>
      <w:r>
        <w:rPr>
          <w:color w:val="000000"/>
        </w:rPr>
        <w:t xml:space="preserve">has </w:t>
      </w:r>
      <w:r w:rsidRPr="00F25D84">
        <w:rPr>
          <w:color w:val="000000"/>
        </w:rPr>
        <w:t>been a part of Draper University in Silicon Valley and met the honorable President of India as a part of Festival of Innovation in 2017.</w:t>
      </w:r>
      <w:r w:rsidR="00DC0ACF" w:rsidRPr="00F25D84">
        <w:rPr>
          <w:highlight w:val="yellow"/>
        </w:rPr>
        <w:t xml:space="preserve"> </w:t>
      </w:r>
    </w:p>
    <w:p w14:paraId="0223027A" w14:textId="77777777" w:rsidR="00DC0ACF" w:rsidRDefault="00DC0ACF" w:rsidP="00DC0ACF"/>
    <w:p w14:paraId="3DF12551" w14:textId="5BDBA889" w:rsidR="00F25D84" w:rsidRPr="00F25D84" w:rsidRDefault="00F25D84" w:rsidP="00F25D84">
      <w:pPr>
        <w:jc w:val="left"/>
        <w:rPr>
          <w:sz w:val="24"/>
          <w:szCs w:val="24"/>
        </w:rPr>
      </w:pPr>
      <w:r w:rsidRPr="00F25D84">
        <w:rPr>
          <w:b/>
          <w:bCs/>
          <w:color w:val="000000"/>
          <w:u w:val="single"/>
        </w:rPr>
        <w:t>Sandeep Suresh</w:t>
      </w:r>
      <w:r>
        <w:rPr>
          <w:b/>
          <w:bCs/>
          <w:color w:val="000000"/>
        </w:rPr>
        <w:t>:</w:t>
      </w:r>
      <w:r w:rsidRPr="00F25D84">
        <w:rPr>
          <w:color w:val="000000"/>
        </w:rPr>
        <w:t xml:space="preserve"> </w:t>
      </w:r>
      <w:r>
        <w:rPr>
          <w:color w:val="000000"/>
        </w:rPr>
        <w:t xml:space="preserve">Sandeep </w:t>
      </w:r>
      <w:r w:rsidRPr="00F25D84">
        <w:rPr>
          <w:color w:val="000000"/>
        </w:rPr>
        <w:t xml:space="preserve">is the CTO of </w:t>
      </w:r>
      <w:r>
        <w:rPr>
          <w:color w:val="000000"/>
        </w:rPr>
        <w:t xml:space="preserve">the Issuer. He </w:t>
      </w:r>
      <w:r w:rsidRPr="00F25D84">
        <w:rPr>
          <w:color w:val="000000"/>
        </w:rPr>
        <w:t>previously buil</w:t>
      </w:r>
      <w:r>
        <w:rPr>
          <w:color w:val="000000"/>
        </w:rPr>
        <w:t>t</w:t>
      </w:r>
      <w:r w:rsidRPr="00F25D84">
        <w:rPr>
          <w:color w:val="000000"/>
        </w:rPr>
        <w:t xml:space="preserve"> banking infrastructures at one of the largest private technology companies in India called Tata Consultancy Serv</w:t>
      </w:r>
      <w:r>
        <w:rPr>
          <w:color w:val="000000"/>
        </w:rPr>
        <w:t>i</w:t>
      </w:r>
      <w:r w:rsidRPr="00F25D84">
        <w:rPr>
          <w:color w:val="000000"/>
        </w:rPr>
        <w:t xml:space="preserve">ces for 8 years </w:t>
      </w:r>
      <w:r>
        <w:rPr>
          <w:color w:val="000000"/>
        </w:rPr>
        <w:t xml:space="preserve">prior to joining the Issuer. </w:t>
      </w:r>
      <w:r w:rsidRPr="00F25D84">
        <w:rPr>
          <w:color w:val="000000"/>
        </w:rPr>
        <w:t> </w:t>
      </w:r>
    </w:p>
    <w:p w14:paraId="3A07200B" w14:textId="63111802" w:rsidR="00F25D84" w:rsidRPr="00F25D84" w:rsidRDefault="00F25D84" w:rsidP="00F25D84">
      <w:r w:rsidRPr="00F25D84">
        <w:rPr>
          <w:sz w:val="24"/>
          <w:szCs w:val="24"/>
        </w:rPr>
        <w:br/>
      </w:r>
      <w:r w:rsidRPr="00F25D84">
        <w:rPr>
          <w:b/>
          <w:bCs/>
          <w:color w:val="000000"/>
          <w:u w:val="single"/>
        </w:rPr>
        <w:t>Gautham</w:t>
      </w:r>
      <w:r w:rsidR="00953AD6">
        <w:rPr>
          <w:b/>
          <w:bCs/>
          <w:color w:val="000000"/>
          <w:u w:val="single"/>
        </w:rPr>
        <w:t xml:space="preserve"> Gautham</w:t>
      </w:r>
      <w:r>
        <w:rPr>
          <w:b/>
          <w:bCs/>
          <w:color w:val="000000"/>
        </w:rPr>
        <w:t>:</w:t>
      </w:r>
      <w:r w:rsidRPr="00F25D84">
        <w:rPr>
          <w:color w:val="000000"/>
        </w:rPr>
        <w:t xml:space="preserve"> </w:t>
      </w:r>
      <w:r>
        <w:rPr>
          <w:color w:val="000000"/>
        </w:rPr>
        <w:t xml:space="preserve">Gautham </w:t>
      </w:r>
      <w:r w:rsidRPr="00F25D84">
        <w:rPr>
          <w:color w:val="000000"/>
        </w:rPr>
        <w:t xml:space="preserve">is the COO of </w:t>
      </w:r>
      <w:r>
        <w:rPr>
          <w:color w:val="000000"/>
        </w:rPr>
        <w:t xml:space="preserve">the Issuer. He was previously </w:t>
      </w:r>
      <w:r w:rsidRPr="00F25D84">
        <w:rPr>
          <w:color w:val="000000"/>
        </w:rPr>
        <w:t>part of Startup Village in his early days, a first of its kind PPP modelled business incubator in India. After that</w:t>
      </w:r>
      <w:r>
        <w:rPr>
          <w:color w:val="000000"/>
        </w:rPr>
        <w:t>, Gautham</w:t>
      </w:r>
      <w:r w:rsidRPr="00F25D84">
        <w:rPr>
          <w:color w:val="000000"/>
        </w:rPr>
        <w:t xml:space="preserve"> went on to launch PupilFirst, an edtech platform that's valued at over $20 million as of 2024 and counts Meta and Freshworks as partners.</w:t>
      </w:r>
    </w:p>
    <w:p w14:paraId="4871E731" w14:textId="77777777" w:rsidR="00F25D84" w:rsidRPr="0063792C" w:rsidRDefault="00F25D84" w:rsidP="00DC0ACF"/>
    <w:p w14:paraId="126027E4" w14:textId="77777777" w:rsidR="00DC0ACF" w:rsidRPr="0063792C" w:rsidRDefault="00DC0ACF" w:rsidP="00DC0ACF">
      <w:pPr>
        <w:pStyle w:val="Heading2"/>
      </w:pPr>
      <w:bookmarkStart w:id="42" w:name="_Toc103593658"/>
      <w:r w:rsidRPr="0063792C">
        <w:t>Indemnification</w:t>
      </w:r>
      <w:bookmarkEnd w:id="42"/>
    </w:p>
    <w:p w14:paraId="0DE70FAD" w14:textId="77777777" w:rsidR="00DC0ACF" w:rsidRPr="0063792C" w:rsidRDefault="00DC0ACF" w:rsidP="00DC0ACF">
      <w:pPr>
        <w:rPr>
          <w:iCs/>
        </w:rPr>
      </w:pPr>
    </w:p>
    <w:p w14:paraId="74511C03" w14:textId="0CE28925" w:rsidR="00DC0ACF" w:rsidRPr="0063792C" w:rsidRDefault="00DC0ACF" w:rsidP="00DC0ACF">
      <w:r w:rsidRPr="0063792C">
        <w:t xml:space="preserve">Indemnification is authorized by the </w:t>
      </w:r>
      <w:r w:rsidR="00856D91">
        <w:rPr>
          <w:bCs/>
        </w:rPr>
        <w:t>Issuer</w:t>
      </w:r>
      <w:r w:rsidRPr="0063792C">
        <w:t xml:space="preserve"> to </w:t>
      </w:r>
      <w:r w:rsidR="001E4909">
        <w:t>directors</w:t>
      </w:r>
      <w:r w:rsidRPr="0063792C">
        <w:t xml:space="preserve">, officers or controlling persons acting in their professional capacity pursuant to </w:t>
      </w:r>
      <w:r w:rsidR="00F25D84">
        <w:t>Delaware</w:t>
      </w:r>
      <w:r w:rsidRPr="0063792C">
        <w:t xml:space="preserve"> law. Indemnification includes expenses such as attorney’s fees and, in certain circumstances, judgments, fines and settlement amounts actually paid or incurred in connection with actual or threatened actions, suits or proceedings involving such person, except in certain circumstances where a person is </w:t>
      </w:r>
      <w:r w:rsidRPr="0063792C">
        <w:lastRenderedPageBreak/>
        <w:t>adjudged to be guilty of gross negligence or willful misconduct, unless a court of competent jurisdiction determines that such indemnification is fair and reasonable under the circumstances.</w:t>
      </w:r>
    </w:p>
    <w:p w14:paraId="66AC99D2" w14:textId="77777777" w:rsidR="00DC0ACF" w:rsidRPr="0063792C" w:rsidRDefault="00DC0ACF" w:rsidP="00DC0ACF"/>
    <w:p w14:paraId="5E0511DF" w14:textId="77777777" w:rsidR="00D341CE" w:rsidRDefault="00D341CE" w:rsidP="00DC0ACF">
      <w:pPr>
        <w:pStyle w:val="Heading1"/>
        <w:jc w:val="center"/>
      </w:pPr>
      <w:bookmarkStart w:id="43" w:name="_Toc103593659"/>
    </w:p>
    <w:p w14:paraId="1BF117F3" w14:textId="77777777" w:rsidR="00D341CE" w:rsidRDefault="00D341CE" w:rsidP="00DC0ACF">
      <w:pPr>
        <w:pStyle w:val="Heading1"/>
        <w:jc w:val="center"/>
      </w:pPr>
    </w:p>
    <w:p w14:paraId="6E99E50B" w14:textId="038B8EC7" w:rsidR="00DC0ACF" w:rsidRPr="0063792C" w:rsidRDefault="00DC0ACF" w:rsidP="00DC0ACF">
      <w:pPr>
        <w:pStyle w:val="Heading1"/>
        <w:jc w:val="center"/>
      </w:pPr>
      <w:r w:rsidRPr="0063792C">
        <w:t>CAPITALIZATION</w:t>
      </w:r>
      <w:r>
        <w:t>, DEBT</w:t>
      </w:r>
      <w:r w:rsidRPr="0063792C">
        <w:t xml:space="preserve"> AND OWNERSHIP</w:t>
      </w:r>
      <w:bookmarkEnd w:id="43"/>
    </w:p>
    <w:p w14:paraId="20F4BE66" w14:textId="77777777" w:rsidR="00DC0ACF" w:rsidRPr="0063792C" w:rsidRDefault="00DC0ACF" w:rsidP="00DC0ACF">
      <w:pPr>
        <w:rPr>
          <w:b/>
        </w:rPr>
      </w:pPr>
    </w:p>
    <w:p w14:paraId="68391C01" w14:textId="77777777" w:rsidR="00DC0ACF" w:rsidRPr="0063792C" w:rsidRDefault="00DC0ACF" w:rsidP="00DC0ACF">
      <w:pPr>
        <w:pStyle w:val="Heading2"/>
      </w:pPr>
      <w:bookmarkStart w:id="44" w:name="_Toc103593660"/>
      <w:r w:rsidRPr="0063792C">
        <w:t>Capitalization</w:t>
      </w:r>
      <w:bookmarkEnd w:id="44"/>
    </w:p>
    <w:p w14:paraId="71F4411B" w14:textId="77777777" w:rsidR="00DC0ACF" w:rsidRPr="0063792C" w:rsidRDefault="00DC0ACF" w:rsidP="00DC0ACF">
      <w:pPr>
        <w:rPr>
          <w:b/>
          <w:bCs/>
        </w:rPr>
      </w:pPr>
    </w:p>
    <w:p w14:paraId="67231D38" w14:textId="3E7FAA1C" w:rsidR="0093091B" w:rsidRPr="0063792C" w:rsidRDefault="0093091B" w:rsidP="0093091B">
      <w:bookmarkStart w:id="45" w:name="_Hlk171347550"/>
      <w:r w:rsidRPr="0063792C">
        <w:t xml:space="preserve">The </w:t>
      </w:r>
      <w:r w:rsidR="00856D91">
        <w:rPr>
          <w:bCs/>
        </w:rPr>
        <w:t>Issuer</w:t>
      </w:r>
      <w:r w:rsidRPr="0063792C">
        <w:t xml:space="preserve">’s authorized capital stock consists of </w:t>
      </w:r>
      <w:r w:rsidR="00F04315">
        <w:t>13,333,332</w:t>
      </w:r>
      <w:r w:rsidRPr="0063792C">
        <w:t xml:space="preserve"> shares of common stock, par value $</w:t>
      </w:r>
      <w:r w:rsidRPr="00F04315">
        <w:t>0.</w:t>
      </w:r>
      <w:r w:rsidR="00F04315" w:rsidRPr="00F04315">
        <w:t>0</w:t>
      </w:r>
      <w:r w:rsidRPr="00F04315">
        <w:t>0001</w:t>
      </w:r>
      <w:r w:rsidRPr="0063792C">
        <w:t xml:space="preserve"> per share (the “</w:t>
      </w:r>
      <w:r w:rsidRPr="0063792C">
        <w:rPr>
          <w:b/>
          <w:bCs/>
        </w:rPr>
        <w:t>Common Stock</w:t>
      </w:r>
      <w:r w:rsidRPr="0063792C">
        <w:t xml:space="preserve">”) </w:t>
      </w:r>
      <w:r w:rsidRPr="00F04315">
        <w:t xml:space="preserve">and </w:t>
      </w:r>
      <w:r w:rsidR="00F04315" w:rsidRPr="00F04315">
        <w:t>3,333,332</w:t>
      </w:r>
      <w:r w:rsidRPr="00F04315">
        <w:t xml:space="preserve"> shares of preferred stock, par value $0.</w:t>
      </w:r>
      <w:r w:rsidR="00F04315" w:rsidRPr="00F04315">
        <w:t>0</w:t>
      </w:r>
      <w:r w:rsidRPr="00F04315">
        <w:t>0001 per share (the “</w:t>
      </w:r>
      <w:r w:rsidRPr="00F04315">
        <w:rPr>
          <w:b/>
          <w:bCs/>
        </w:rPr>
        <w:t>Preferred Stock</w:t>
      </w:r>
      <w:r w:rsidRPr="00F04315">
        <w:t>”).</w:t>
      </w:r>
      <w:r w:rsidRPr="00DA3A94">
        <w:t xml:space="preserve"> </w:t>
      </w:r>
      <w:bookmarkStart w:id="46" w:name="_Hlk72491950"/>
      <w:r w:rsidRPr="0054280C">
        <w:t xml:space="preserve">Additionally, the </w:t>
      </w:r>
      <w:r w:rsidR="00856D91" w:rsidRPr="0054280C">
        <w:rPr>
          <w:bCs/>
        </w:rPr>
        <w:t>Issuer</w:t>
      </w:r>
      <w:r w:rsidRPr="0054280C">
        <w:t xml:space="preserve"> has established the 201</w:t>
      </w:r>
      <w:r w:rsidR="0054280C" w:rsidRPr="0054280C">
        <w:t>6</w:t>
      </w:r>
      <w:r w:rsidRPr="0054280C">
        <w:t xml:space="preserve"> </w:t>
      </w:r>
      <w:r w:rsidR="0054280C" w:rsidRPr="0054280C">
        <w:t xml:space="preserve">Stock </w:t>
      </w:r>
      <w:r w:rsidRPr="0054280C">
        <w:t xml:space="preserve">Incentive Plan for which </w:t>
      </w:r>
      <w:r w:rsidR="0054280C" w:rsidRPr="0054280C">
        <w:t xml:space="preserve">1,500,000 </w:t>
      </w:r>
      <w:r w:rsidRPr="0054280C">
        <w:t>shares are authorized for issuance thereunder.</w:t>
      </w:r>
      <w:r>
        <w:t xml:space="preserve"> </w:t>
      </w:r>
      <w:r w:rsidRPr="0063792C">
        <w:t xml:space="preserve"> </w:t>
      </w:r>
      <w:r w:rsidRPr="00F04315">
        <w:t>A</w:t>
      </w:r>
      <w:r w:rsidR="00887878" w:rsidRPr="00F04315">
        <w:t>s of the date of this Form C</w:t>
      </w:r>
      <w:r w:rsidRPr="00F04315">
        <w:t xml:space="preserve">, </w:t>
      </w:r>
      <w:r w:rsidR="00C776FF">
        <w:t>9,837,464</w:t>
      </w:r>
      <w:r w:rsidRPr="00F04315">
        <w:t xml:space="preserve"> shares of Common Stock</w:t>
      </w:r>
      <w:r w:rsidR="00F73B42">
        <w:t xml:space="preserve">, including </w:t>
      </w:r>
      <w:r w:rsidR="00C776FF">
        <w:t>574,392</w:t>
      </w:r>
      <w:r w:rsidR="00F73B42">
        <w:t xml:space="preserve"> shares of stock issued under the 2016 Stock Incentive Plan,</w:t>
      </w:r>
      <w:r w:rsidRPr="00F04315">
        <w:t xml:space="preserve"> and </w:t>
      </w:r>
      <w:r w:rsidR="00F04315" w:rsidRPr="00F04315">
        <w:t>3,333,332</w:t>
      </w:r>
      <w:r w:rsidRPr="00F04315">
        <w:t xml:space="preserve"> shares of Preferred Stock</w:t>
      </w:r>
      <w:r w:rsidRPr="0063792C">
        <w:t xml:space="preserve"> </w:t>
      </w:r>
      <w:r w:rsidR="00887878">
        <w:t>are</w:t>
      </w:r>
      <w:r w:rsidRPr="0063792C">
        <w:t xml:space="preserve"> issued and outstanding.</w:t>
      </w:r>
      <w:r w:rsidRPr="00DA3A94">
        <w:t xml:space="preserve"> </w:t>
      </w:r>
      <w:r w:rsidRPr="0054280C">
        <w:t xml:space="preserve">Additionally, the </w:t>
      </w:r>
      <w:r w:rsidR="00856D91" w:rsidRPr="0054280C">
        <w:rPr>
          <w:bCs/>
        </w:rPr>
        <w:t>Issuer</w:t>
      </w:r>
      <w:r w:rsidRPr="0054280C">
        <w:t xml:space="preserve"> </w:t>
      </w:r>
      <w:r w:rsidRPr="00F73B42">
        <w:t xml:space="preserve">has </w:t>
      </w:r>
      <w:r w:rsidR="00545AE6">
        <w:t>400,000 options to purchase Common Stock issued and outstanding and an additional 525,608</w:t>
      </w:r>
      <w:r w:rsidRPr="0054280C">
        <w:t xml:space="preserve"> </w:t>
      </w:r>
      <w:r w:rsidR="00F73B42">
        <w:t xml:space="preserve">shares of Common Stock remaining </w:t>
      </w:r>
      <w:r w:rsidRPr="0054280C">
        <w:t>available for issuance under the 201</w:t>
      </w:r>
      <w:r w:rsidR="0054280C" w:rsidRPr="0054280C">
        <w:t>6</w:t>
      </w:r>
      <w:r w:rsidRPr="0054280C">
        <w:t xml:space="preserve"> </w:t>
      </w:r>
      <w:r w:rsidR="00F73B42">
        <w:t>Stock</w:t>
      </w:r>
      <w:r w:rsidRPr="0054280C">
        <w:t xml:space="preserve"> Incentive Plan.</w:t>
      </w:r>
    </w:p>
    <w:bookmarkEnd w:id="45"/>
    <w:bookmarkEnd w:id="46"/>
    <w:p w14:paraId="4985010F" w14:textId="77777777" w:rsidR="00DC0ACF" w:rsidRPr="0063792C" w:rsidRDefault="00DC0ACF" w:rsidP="00DC0ACF"/>
    <w:p w14:paraId="0E8672FF" w14:textId="77777777" w:rsidR="00DC0ACF" w:rsidRPr="0063792C" w:rsidRDefault="00DC0ACF" w:rsidP="00DC0ACF">
      <w:pPr>
        <w:rPr>
          <w:b/>
          <w:bCs/>
          <w:i/>
          <w:iCs/>
        </w:rPr>
      </w:pPr>
      <w:r w:rsidRPr="0063792C">
        <w:rPr>
          <w:b/>
          <w:bCs/>
          <w:i/>
          <w:iCs/>
        </w:rPr>
        <w:t>Outstanding Capital Stock</w:t>
      </w:r>
    </w:p>
    <w:p w14:paraId="56F64C3E" w14:textId="77777777" w:rsidR="00DC0ACF" w:rsidRPr="0063792C" w:rsidRDefault="00DC0ACF" w:rsidP="00DC0ACF"/>
    <w:p w14:paraId="41D7DBC9" w14:textId="625BE346" w:rsidR="00DC0ACF" w:rsidRPr="0063792C" w:rsidRDefault="00DC0ACF" w:rsidP="00DC0ACF">
      <w:r w:rsidRPr="0063792C">
        <w:t xml:space="preserve">As of the date of this Form C, the </w:t>
      </w:r>
      <w:r w:rsidR="00856D91">
        <w:rPr>
          <w:bCs/>
        </w:rPr>
        <w:t>Issuer</w:t>
      </w:r>
      <w:r w:rsidRPr="0063792C">
        <w:t xml:space="preserve">’s outstanding capital stock consists of: </w:t>
      </w:r>
    </w:p>
    <w:p w14:paraId="11179220" w14:textId="1362D05C" w:rsidR="00DC0ACF" w:rsidRDefault="00DC0ACF" w:rsidP="00DC0ACF"/>
    <w:tbl>
      <w:tblPr>
        <w:tblW w:w="9360" w:type="dxa"/>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D447FE" w:rsidRPr="0063792C" w14:paraId="41010197" w14:textId="77777777" w:rsidTr="00D447FE">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CB1F307" w14:textId="77777777" w:rsidR="00D447FE" w:rsidRPr="00D447FE" w:rsidRDefault="00D447FE" w:rsidP="00525EE2">
            <w:pPr>
              <w:keepNext/>
              <w:jc w:val="center"/>
              <w:rPr>
                <w:b/>
                <w:bCs/>
              </w:rPr>
            </w:pPr>
            <w:r w:rsidRPr="0063792C">
              <w:rPr>
                <w:b/>
                <w:bCs/>
              </w:rPr>
              <w:t>Type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C5169B" w14:textId="77777777" w:rsidR="00D447FE" w:rsidRPr="0063792C" w:rsidRDefault="00D447FE" w:rsidP="00525EE2">
            <w:pPr>
              <w:jc w:val="center"/>
            </w:pPr>
            <w:r w:rsidRPr="0063792C">
              <w:t>Common Stock</w:t>
            </w:r>
          </w:p>
        </w:tc>
      </w:tr>
      <w:tr w:rsidR="00D447FE" w:rsidRPr="0063792C" w14:paraId="55D10988" w14:textId="77777777" w:rsidTr="00D447FE">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EA6CA0E" w14:textId="77777777" w:rsidR="00D447FE" w:rsidRPr="00D447FE" w:rsidRDefault="00D447FE" w:rsidP="00525EE2">
            <w:pPr>
              <w:keepNext/>
              <w:jc w:val="center"/>
              <w:rPr>
                <w:b/>
                <w:bCs/>
              </w:rPr>
            </w:pPr>
            <w:r w:rsidRPr="0063792C">
              <w:rPr>
                <w:b/>
                <w:bCs/>
              </w:rPr>
              <w:t>Amount Outstanding</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A270E0" w14:textId="3864BB46" w:rsidR="00D447FE" w:rsidRPr="0063792C" w:rsidRDefault="00C776FF" w:rsidP="00525EE2">
            <w:pPr>
              <w:jc w:val="center"/>
            </w:pPr>
            <w:r>
              <w:t>9,837,464</w:t>
            </w:r>
          </w:p>
        </w:tc>
      </w:tr>
      <w:tr w:rsidR="00D447FE" w:rsidRPr="0063792C" w14:paraId="5880CBD2" w14:textId="77777777" w:rsidTr="00D447FE">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F677D2C" w14:textId="77777777" w:rsidR="00D447FE" w:rsidRPr="0063792C" w:rsidRDefault="00D447FE" w:rsidP="00525EE2">
            <w:pPr>
              <w:keepNext/>
              <w:jc w:val="center"/>
              <w:rPr>
                <w:b/>
                <w:bCs/>
              </w:rPr>
            </w:pPr>
            <w:r w:rsidRPr="0063792C">
              <w:rPr>
                <w:b/>
                <w:bCs/>
              </w:rPr>
              <w:t>Par Value Per Share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39E7DC" w14:textId="0A2568D3" w:rsidR="00D447FE" w:rsidRPr="0063792C" w:rsidRDefault="00D447FE" w:rsidP="00525EE2">
            <w:pPr>
              <w:jc w:val="center"/>
            </w:pPr>
            <w:r>
              <w:t>$0.000</w:t>
            </w:r>
            <w:r w:rsidR="00F04315">
              <w:t>0</w:t>
            </w:r>
            <w:r>
              <w:t>1</w:t>
            </w:r>
          </w:p>
        </w:tc>
      </w:tr>
      <w:tr w:rsidR="00D447FE" w:rsidRPr="0063792C" w14:paraId="73CD3C29" w14:textId="77777777" w:rsidTr="00D447FE">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0181C84" w14:textId="77777777" w:rsidR="00D447FE" w:rsidRPr="00D447FE" w:rsidRDefault="00D447FE" w:rsidP="00525EE2">
            <w:pPr>
              <w:keepNext/>
              <w:jc w:val="center"/>
              <w:rPr>
                <w:b/>
                <w:bCs/>
              </w:rPr>
            </w:pPr>
            <w:r w:rsidRPr="0063792C">
              <w:rPr>
                <w:b/>
                <w:bCs/>
              </w:rPr>
              <w:t>Voting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0ADD01" w14:textId="77777777" w:rsidR="00D447FE" w:rsidRPr="0063792C" w:rsidRDefault="00D447FE" w:rsidP="00525EE2">
            <w:pPr>
              <w:jc w:val="center"/>
            </w:pPr>
            <w:r w:rsidRPr="00D447FE">
              <w:t>1</w:t>
            </w:r>
            <w:r w:rsidRPr="0063792C">
              <w:t xml:space="preserve"> vote per share</w:t>
            </w:r>
          </w:p>
        </w:tc>
      </w:tr>
      <w:tr w:rsidR="00D447FE" w:rsidRPr="0063792C" w14:paraId="025DC657" w14:textId="77777777" w:rsidTr="00D447FE">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389F811" w14:textId="77777777" w:rsidR="00D447FE" w:rsidRPr="00D447FE" w:rsidRDefault="00D447FE" w:rsidP="00525EE2">
            <w:pPr>
              <w:keepNext/>
              <w:jc w:val="center"/>
              <w:rPr>
                <w:b/>
                <w:bCs/>
              </w:rPr>
            </w:pPr>
            <w:r w:rsidRPr="0063792C">
              <w:rPr>
                <w:b/>
                <w:bCs/>
              </w:rPr>
              <w:t>Anti-Dilution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FE71B9" w14:textId="77777777" w:rsidR="00D447FE" w:rsidRPr="0063792C" w:rsidRDefault="00D447FE" w:rsidP="00525EE2">
            <w:pPr>
              <w:jc w:val="center"/>
            </w:pPr>
            <w:r>
              <w:t>None</w:t>
            </w:r>
          </w:p>
        </w:tc>
      </w:tr>
      <w:tr w:rsidR="00D67EF9" w:rsidRPr="0063792C" w14:paraId="46C73A71" w14:textId="77777777" w:rsidTr="00D447FE">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5B5E0F2" w14:textId="14F23378" w:rsidR="00D67EF9" w:rsidRPr="0063792C" w:rsidRDefault="00D67EF9" w:rsidP="00525EE2">
            <w:pPr>
              <w:keepNext/>
              <w:jc w:val="center"/>
              <w:rPr>
                <w:b/>
                <w:bCs/>
              </w:rPr>
            </w:pPr>
            <w:r>
              <w:rPr>
                <w:b/>
                <w:bCs/>
              </w:rPr>
              <w:t>Other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83725D" w14:textId="25AF2CC9" w:rsidR="00D67EF9" w:rsidRDefault="00D67EF9" w:rsidP="00525EE2">
            <w:pPr>
              <w:jc w:val="center"/>
            </w:pPr>
            <w:r>
              <w:t>Right to elect two (2) directors to the Board of Directors</w:t>
            </w:r>
          </w:p>
        </w:tc>
      </w:tr>
      <w:tr w:rsidR="00D447FE" w:rsidRPr="0063792C" w14:paraId="72CFBE3B" w14:textId="77777777" w:rsidTr="00D447FE">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28E9C18" w14:textId="77777777" w:rsidR="00D447FE" w:rsidRPr="00D447FE" w:rsidRDefault="00D447FE" w:rsidP="00525EE2">
            <w:pPr>
              <w:keepNext/>
              <w:jc w:val="center"/>
              <w:rPr>
                <w:b/>
                <w:bCs/>
              </w:rPr>
            </w:pPr>
            <w:bookmarkStart w:id="47" w:name="_Hlk105962303"/>
            <w:r w:rsidRPr="0063792C">
              <w:rPr>
                <w:b/>
                <w:bCs/>
              </w:rPr>
              <w:t>How this security may limit, dilute or qualify the Security issued pursuant to Regulation CF</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07302C" w14:textId="582973E0" w:rsidR="00D447FE" w:rsidRPr="0063792C" w:rsidRDefault="00D447FE" w:rsidP="00525EE2">
            <w:pPr>
              <w:jc w:val="center"/>
            </w:pPr>
            <w:r>
              <w:t xml:space="preserve">The </w:t>
            </w:r>
            <w:r w:rsidR="00856D91">
              <w:rPr>
                <w:bCs/>
              </w:rPr>
              <w:t>Issuer</w:t>
            </w:r>
            <w:r>
              <w:t xml:space="preserve"> may issue additional shares of Common Stock at a later date. The issuance of such additional shares of Common Stock would be dilutive, and could adversely affect the value of the Securities issued pursuant to Regulation CF.</w:t>
            </w:r>
          </w:p>
        </w:tc>
      </w:tr>
      <w:tr w:rsidR="00D447FE" w:rsidRPr="0063792C" w14:paraId="62FC8C47" w14:textId="77777777" w:rsidTr="00D447FE">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6C1CAC1" w14:textId="222AB9C1" w:rsidR="00D447FE" w:rsidRPr="00D447FE" w:rsidRDefault="00D447FE" w:rsidP="00D447FE">
            <w:pPr>
              <w:keepNext/>
              <w:jc w:val="center"/>
              <w:rPr>
                <w:b/>
                <w:bCs/>
              </w:rPr>
            </w:pPr>
            <w:r w:rsidRPr="0063792C">
              <w:rPr>
                <w:b/>
                <w:bCs/>
              </w:rPr>
              <w:t xml:space="preserve">Percentage ownership of the </w:t>
            </w:r>
            <w:r w:rsidR="00856D91">
              <w:rPr>
                <w:b/>
                <w:bCs/>
              </w:rPr>
              <w:t>Issuer</w:t>
            </w:r>
            <w:r w:rsidRPr="0063792C">
              <w:rPr>
                <w:b/>
                <w:bCs/>
              </w:rPr>
              <w:t xml:space="preserve"> by the holders of such security (assuming conversion prior to the Offering if convertible securities).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8C288D" w14:textId="02A98B8A" w:rsidR="00D447FE" w:rsidRPr="0063792C" w:rsidRDefault="00545AE6" w:rsidP="00525EE2">
            <w:pPr>
              <w:jc w:val="center"/>
            </w:pPr>
            <w:r w:rsidRPr="00545AE6">
              <w:t>57.82</w:t>
            </w:r>
            <w:r w:rsidR="00D447FE" w:rsidRPr="00545AE6">
              <w:t>%</w:t>
            </w:r>
          </w:p>
        </w:tc>
      </w:tr>
    </w:tbl>
    <w:bookmarkEnd w:id="47"/>
    <w:p w14:paraId="09B814FF" w14:textId="6EE511BD" w:rsidR="00D447FE" w:rsidRDefault="00F73B42">
      <w:r>
        <w:t xml:space="preserve">*Includes </w:t>
      </w:r>
      <w:r w:rsidR="00545AE6">
        <w:t>574,392</w:t>
      </w:r>
      <w:r>
        <w:t xml:space="preserve"> shares issued under the Issuer’s 2016 Stock</w:t>
      </w:r>
      <w:r w:rsidRPr="0054280C">
        <w:t xml:space="preserve"> Incentive Plan</w:t>
      </w:r>
      <w:r>
        <w:t>.</w:t>
      </w:r>
    </w:p>
    <w:tbl>
      <w:tblPr>
        <w:tblW w:w="9360" w:type="dxa"/>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D447FE" w:rsidRPr="0063792C" w14:paraId="5D0DFE6C" w14:textId="77777777" w:rsidTr="00525E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60A2E42" w14:textId="77777777" w:rsidR="00D447FE" w:rsidRPr="0063792C" w:rsidRDefault="00D447FE" w:rsidP="00525EE2">
            <w:pPr>
              <w:keepNext/>
              <w:jc w:val="center"/>
            </w:pPr>
            <w:r w:rsidRPr="0063792C">
              <w:rPr>
                <w:b/>
                <w:bCs/>
              </w:rPr>
              <w:lastRenderedPageBreak/>
              <w:t>Type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9D9FF2" w14:textId="5651C9B8" w:rsidR="00D447FE" w:rsidRPr="0063792C" w:rsidRDefault="00D447FE" w:rsidP="00525EE2">
            <w:pPr>
              <w:jc w:val="center"/>
            </w:pPr>
            <w:r w:rsidRPr="00F04315">
              <w:t xml:space="preserve">Series </w:t>
            </w:r>
            <w:r w:rsidR="00F04315" w:rsidRPr="00F04315">
              <w:t xml:space="preserve">Seed 1 </w:t>
            </w:r>
            <w:r w:rsidRPr="0063792C">
              <w:t>Preferred Stock</w:t>
            </w:r>
          </w:p>
        </w:tc>
      </w:tr>
      <w:tr w:rsidR="00D447FE" w:rsidRPr="0063792C" w14:paraId="526EE1B4" w14:textId="77777777" w:rsidTr="00525E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CE66AA5" w14:textId="77777777" w:rsidR="00D447FE" w:rsidRPr="0063792C" w:rsidRDefault="00D447FE" w:rsidP="00525EE2">
            <w:pPr>
              <w:keepNext/>
              <w:jc w:val="center"/>
            </w:pPr>
            <w:r w:rsidRPr="0063792C">
              <w:rPr>
                <w:b/>
                <w:bCs/>
              </w:rPr>
              <w:t>Amount Outstanding</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962DFC" w14:textId="749507F9" w:rsidR="00D447FE" w:rsidRPr="0063792C" w:rsidRDefault="00F04315" w:rsidP="00525EE2">
            <w:pPr>
              <w:jc w:val="center"/>
            </w:pPr>
            <w:r>
              <w:t>3,333,332</w:t>
            </w:r>
          </w:p>
        </w:tc>
      </w:tr>
      <w:tr w:rsidR="00D447FE" w:rsidRPr="0063792C" w14:paraId="4C27EB92" w14:textId="77777777" w:rsidTr="00525E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2D5A956" w14:textId="77777777" w:rsidR="00D447FE" w:rsidRPr="0063792C" w:rsidRDefault="00D447FE" w:rsidP="00525EE2">
            <w:pPr>
              <w:keepNext/>
              <w:jc w:val="center"/>
              <w:rPr>
                <w:b/>
                <w:bCs/>
              </w:rPr>
            </w:pPr>
            <w:r w:rsidRPr="0063792C">
              <w:rPr>
                <w:b/>
                <w:bCs/>
              </w:rPr>
              <w:t>Par Value Per Share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CDEDC8" w14:textId="3A6BDA49" w:rsidR="00D447FE" w:rsidRPr="0063792C" w:rsidRDefault="00D447FE" w:rsidP="00525EE2">
            <w:pPr>
              <w:jc w:val="center"/>
            </w:pPr>
            <w:r>
              <w:t>$0.000</w:t>
            </w:r>
            <w:r w:rsidR="00F04315">
              <w:t>0</w:t>
            </w:r>
            <w:r>
              <w:t>1</w:t>
            </w:r>
          </w:p>
        </w:tc>
      </w:tr>
      <w:tr w:rsidR="00D447FE" w:rsidRPr="0063792C" w14:paraId="525A59B7" w14:textId="77777777" w:rsidTr="00525E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2852FAF" w14:textId="77777777" w:rsidR="00D447FE" w:rsidRPr="0063792C" w:rsidRDefault="00D447FE" w:rsidP="00525EE2">
            <w:pPr>
              <w:keepNext/>
              <w:jc w:val="center"/>
            </w:pPr>
            <w:r w:rsidRPr="0063792C">
              <w:rPr>
                <w:b/>
                <w:bCs/>
              </w:rPr>
              <w:t>Voting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8318C7" w14:textId="0F6C2E40" w:rsidR="00D447FE" w:rsidRPr="0063792C" w:rsidRDefault="00D447FE" w:rsidP="00525EE2">
            <w:pPr>
              <w:jc w:val="center"/>
            </w:pPr>
            <w:r w:rsidRPr="00D67EF9">
              <w:t>1</w:t>
            </w:r>
            <w:r w:rsidRPr="0063792C">
              <w:t xml:space="preserve"> vote per share</w:t>
            </w:r>
          </w:p>
        </w:tc>
      </w:tr>
      <w:tr w:rsidR="00D447FE" w:rsidRPr="0063792C" w14:paraId="65C2343A" w14:textId="77777777" w:rsidTr="00525E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F30AFFF" w14:textId="77777777" w:rsidR="00D447FE" w:rsidRPr="0063792C" w:rsidRDefault="00D447FE" w:rsidP="00525EE2">
            <w:pPr>
              <w:keepNext/>
              <w:jc w:val="center"/>
            </w:pPr>
            <w:r w:rsidRPr="0063792C">
              <w:rPr>
                <w:b/>
                <w:bCs/>
              </w:rPr>
              <w:t>Anti-Dilution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DCC6C5" w14:textId="0D8E0C76" w:rsidR="00D447FE" w:rsidRPr="0063792C" w:rsidRDefault="00D447FE" w:rsidP="00525EE2">
            <w:pPr>
              <w:jc w:val="center"/>
            </w:pPr>
            <w:r>
              <w:t>None</w:t>
            </w:r>
          </w:p>
        </w:tc>
      </w:tr>
      <w:tr w:rsidR="00D447FE" w:rsidRPr="0063792C" w14:paraId="6E7712AA" w14:textId="77777777" w:rsidTr="00525E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65A8BE8" w14:textId="77777777" w:rsidR="00D447FE" w:rsidRPr="0063792C" w:rsidRDefault="00D447FE" w:rsidP="00525EE2">
            <w:pPr>
              <w:keepNext/>
              <w:jc w:val="center"/>
              <w:rPr>
                <w:b/>
                <w:bCs/>
              </w:rPr>
            </w:pPr>
            <w:r w:rsidRPr="0063792C">
              <w:rPr>
                <w:b/>
                <w:bCs/>
              </w:rPr>
              <w:t>Other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D9ACDB" w14:textId="08BEF295" w:rsidR="009A45B4" w:rsidRPr="00D67EF9" w:rsidRDefault="009A45B4" w:rsidP="009A45B4">
            <w:pPr>
              <w:numPr>
                <w:ilvl w:val="0"/>
                <w:numId w:val="24"/>
              </w:numPr>
              <w:pBdr>
                <w:top w:val="nil"/>
                <w:left w:val="nil"/>
                <w:bottom w:val="nil"/>
                <w:right w:val="nil"/>
                <w:between w:val="nil"/>
              </w:pBdr>
              <w:jc w:val="left"/>
            </w:pPr>
            <w:r w:rsidRPr="00D67EF9">
              <w:rPr>
                <w:color w:val="000000"/>
              </w:rPr>
              <w:t xml:space="preserve">Original Issue Price </w:t>
            </w:r>
            <w:r w:rsidR="00D67EF9" w:rsidRPr="00D67EF9">
              <w:rPr>
                <w:color w:val="000000"/>
              </w:rPr>
              <w:t xml:space="preserve">of </w:t>
            </w:r>
            <w:r w:rsidRPr="00D67EF9">
              <w:rPr>
                <w:color w:val="000000"/>
              </w:rPr>
              <w:t>$</w:t>
            </w:r>
            <w:r w:rsidR="00D67EF9" w:rsidRPr="00D67EF9">
              <w:rPr>
                <w:color w:val="000000"/>
              </w:rPr>
              <w:t>0.009</w:t>
            </w:r>
            <w:r w:rsidR="00D67EF9">
              <w:rPr>
                <w:color w:val="000000"/>
              </w:rPr>
              <w:t>0</w:t>
            </w:r>
            <w:r w:rsidRPr="00D67EF9">
              <w:rPr>
                <w:color w:val="000000"/>
              </w:rPr>
              <w:t xml:space="preserve"> per share;</w:t>
            </w:r>
          </w:p>
          <w:p w14:paraId="68C9576D" w14:textId="7155BC7E" w:rsidR="009A45B4" w:rsidRPr="00D67EF9" w:rsidRDefault="009A45B4" w:rsidP="009A45B4">
            <w:pPr>
              <w:numPr>
                <w:ilvl w:val="0"/>
                <w:numId w:val="24"/>
              </w:numPr>
              <w:pBdr>
                <w:top w:val="nil"/>
                <w:left w:val="nil"/>
                <w:bottom w:val="nil"/>
                <w:right w:val="nil"/>
                <w:between w:val="nil"/>
              </w:pBdr>
              <w:jc w:val="left"/>
            </w:pPr>
            <w:r w:rsidRPr="00D67EF9">
              <w:rPr>
                <w:color w:val="000000"/>
              </w:rPr>
              <w:t xml:space="preserve">Right to receive dividends on </w:t>
            </w:r>
            <w:r w:rsidR="00D67EF9" w:rsidRPr="00D67EF9">
              <w:rPr>
                <w:color w:val="000000"/>
              </w:rPr>
              <w:t xml:space="preserve">a </w:t>
            </w:r>
            <w:r w:rsidRPr="00D67EF9">
              <w:rPr>
                <w:color w:val="000000"/>
              </w:rPr>
              <w:t xml:space="preserve">pari passu </w:t>
            </w:r>
            <w:r w:rsidR="00D67EF9" w:rsidRPr="00D67EF9">
              <w:rPr>
                <w:color w:val="000000"/>
              </w:rPr>
              <w:t xml:space="preserve">basis </w:t>
            </w:r>
            <w:r w:rsidRPr="00D67EF9">
              <w:rPr>
                <w:color w:val="000000"/>
              </w:rPr>
              <w:t>with the Common Stock and Preferred Stock;</w:t>
            </w:r>
          </w:p>
          <w:p w14:paraId="1F43EDE1" w14:textId="77777777" w:rsidR="009A45B4" w:rsidRPr="00D67EF9" w:rsidRDefault="009A45B4" w:rsidP="009A45B4">
            <w:pPr>
              <w:numPr>
                <w:ilvl w:val="0"/>
                <w:numId w:val="24"/>
              </w:numPr>
              <w:pBdr>
                <w:top w:val="nil"/>
                <w:left w:val="nil"/>
                <w:bottom w:val="nil"/>
                <w:right w:val="nil"/>
                <w:between w:val="nil"/>
              </w:pBdr>
              <w:jc w:val="left"/>
            </w:pPr>
            <w:r w:rsidRPr="00D67EF9">
              <w:rPr>
                <w:color w:val="000000"/>
              </w:rPr>
              <w:t xml:space="preserve">Liquidation Preference equal to greater of Original Issue Price, plus any dividends declared but unpaid, or such amount per share as would have been payable had all shares converted into Common Stock;  </w:t>
            </w:r>
          </w:p>
          <w:p w14:paraId="6D9FEDC1" w14:textId="77777777" w:rsidR="00D67EF9" w:rsidRPr="00D67EF9" w:rsidRDefault="00D67EF9" w:rsidP="009A45B4">
            <w:pPr>
              <w:numPr>
                <w:ilvl w:val="0"/>
                <w:numId w:val="24"/>
              </w:numPr>
              <w:pBdr>
                <w:top w:val="nil"/>
                <w:left w:val="nil"/>
                <w:bottom w:val="nil"/>
                <w:right w:val="nil"/>
                <w:between w:val="nil"/>
              </w:pBdr>
              <w:jc w:val="left"/>
            </w:pPr>
            <w:r w:rsidRPr="00D67EF9">
              <w:rPr>
                <w:color w:val="000000"/>
              </w:rPr>
              <w:t>Right to elect one (1) director to the Board of Directors;</w:t>
            </w:r>
          </w:p>
          <w:p w14:paraId="0C098292" w14:textId="64F435F2" w:rsidR="009A45B4" w:rsidRPr="00D67EF9" w:rsidRDefault="009A45B4" w:rsidP="009A45B4">
            <w:pPr>
              <w:numPr>
                <w:ilvl w:val="0"/>
                <w:numId w:val="24"/>
              </w:numPr>
              <w:pBdr>
                <w:top w:val="nil"/>
                <w:left w:val="nil"/>
                <w:bottom w:val="nil"/>
                <w:right w:val="nil"/>
                <w:between w:val="nil"/>
              </w:pBdr>
              <w:jc w:val="left"/>
            </w:pPr>
            <w:r w:rsidRPr="00D67EF9">
              <w:rPr>
                <w:color w:val="000000"/>
              </w:rPr>
              <w:t xml:space="preserve">Right to convert into Common Stock at any time at </w:t>
            </w:r>
            <w:r w:rsidR="00D67EF9" w:rsidRPr="00D67EF9">
              <w:rPr>
                <w:color w:val="000000"/>
              </w:rPr>
              <w:t xml:space="preserve">the </w:t>
            </w:r>
            <w:r w:rsidRPr="00D67EF9">
              <w:rPr>
                <w:color w:val="000000"/>
              </w:rPr>
              <w:t>Original Issue Price</w:t>
            </w:r>
            <w:r w:rsidR="00D67EF9" w:rsidRPr="00D67EF9">
              <w:rPr>
                <w:color w:val="000000"/>
              </w:rPr>
              <w:t xml:space="preserve"> at such time of conversion as may be adjusted</w:t>
            </w:r>
            <w:r w:rsidRPr="00D67EF9">
              <w:rPr>
                <w:color w:val="000000"/>
              </w:rPr>
              <w:t>;</w:t>
            </w:r>
            <w:r w:rsidR="00D67EF9" w:rsidRPr="00D67EF9">
              <w:rPr>
                <w:color w:val="000000"/>
              </w:rPr>
              <w:t xml:space="preserve"> and</w:t>
            </w:r>
          </w:p>
          <w:p w14:paraId="067FC361" w14:textId="4931B4C9" w:rsidR="009A45B4" w:rsidRPr="0063792C" w:rsidRDefault="009A45B4" w:rsidP="00D67EF9">
            <w:pPr>
              <w:numPr>
                <w:ilvl w:val="0"/>
                <w:numId w:val="24"/>
              </w:numPr>
              <w:pBdr>
                <w:top w:val="nil"/>
                <w:left w:val="nil"/>
                <w:bottom w:val="nil"/>
                <w:right w:val="nil"/>
                <w:between w:val="nil"/>
              </w:pBdr>
              <w:jc w:val="left"/>
            </w:pPr>
            <w:r w:rsidRPr="00D67EF9">
              <w:rPr>
                <w:color w:val="000000"/>
              </w:rPr>
              <w:t xml:space="preserve">Automatic conversion into Common Stock upon </w:t>
            </w:r>
            <w:r w:rsidR="00D67EF9" w:rsidRPr="00D67EF9">
              <w:rPr>
                <w:color w:val="000000"/>
              </w:rPr>
              <w:t>the closing of the sale of shares of Common Stock to the public in a firm commitment underwritten offering or when approved by the consent of the Requisite Holders.</w:t>
            </w:r>
          </w:p>
        </w:tc>
      </w:tr>
      <w:tr w:rsidR="00D447FE" w:rsidRPr="0063792C" w14:paraId="2B903356" w14:textId="77777777" w:rsidTr="00525E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913E6F6" w14:textId="77777777" w:rsidR="00D447FE" w:rsidRPr="0063792C" w:rsidRDefault="00D447FE" w:rsidP="00525EE2">
            <w:pPr>
              <w:keepNext/>
              <w:jc w:val="center"/>
            </w:pPr>
            <w:r w:rsidRPr="0063792C">
              <w:rPr>
                <w:b/>
                <w:bCs/>
              </w:rPr>
              <w:t>How this security may limit, dilute or qualify the Security issued pursuant to Regulation CF</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905817" w14:textId="4DAE6DF2" w:rsidR="00D447FE" w:rsidRPr="0063792C" w:rsidRDefault="00D447FE" w:rsidP="00525EE2">
            <w:pPr>
              <w:jc w:val="center"/>
            </w:pPr>
            <w:r>
              <w:t xml:space="preserve">The </w:t>
            </w:r>
            <w:r w:rsidR="00856D91">
              <w:rPr>
                <w:bCs/>
              </w:rPr>
              <w:t>Issuer</w:t>
            </w:r>
            <w:r>
              <w:t xml:space="preserve"> may issue additional shares of Series </w:t>
            </w:r>
            <w:r w:rsidR="00D67EF9">
              <w:t xml:space="preserve">Seed 1 </w:t>
            </w:r>
            <w:r>
              <w:t xml:space="preserve">Preferred Stock at a later date. The issuance of such additional shares of Series </w:t>
            </w:r>
            <w:r w:rsidR="00D67EF9">
              <w:t>Seed 1</w:t>
            </w:r>
            <w:r>
              <w:t xml:space="preserve"> Preferred Stock would be dilutive, and could adversely affect the value of the Securities issued pursuant to Regulation CF.</w:t>
            </w:r>
          </w:p>
        </w:tc>
      </w:tr>
      <w:tr w:rsidR="00D447FE" w:rsidRPr="0063792C" w14:paraId="0C6922F5" w14:textId="77777777" w:rsidTr="00525E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60E40EF" w14:textId="0C9BF436" w:rsidR="00D447FE" w:rsidRPr="0063792C" w:rsidRDefault="00D447FE" w:rsidP="00525EE2">
            <w:pPr>
              <w:jc w:val="center"/>
            </w:pPr>
            <w:r w:rsidRPr="0063792C">
              <w:rPr>
                <w:b/>
                <w:bCs/>
              </w:rPr>
              <w:t xml:space="preserve">Percentage ownership of the </w:t>
            </w:r>
            <w:r w:rsidR="00856D91">
              <w:rPr>
                <w:b/>
                <w:bCs/>
              </w:rPr>
              <w:t>Issuer</w:t>
            </w:r>
            <w:r w:rsidRPr="0063792C">
              <w:rPr>
                <w:b/>
                <w:bCs/>
              </w:rPr>
              <w:t xml:space="preserve"> by the holders of such security (assuming conversion prior to the Offering if convertible securities).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DDF0BB" w14:textId="7DF6B91E" w:rsidR="00D447FE" w:rsidRPr="0063792C" w:rsidRDefault="00545AE6" w:rsidP="00525EE2">
            <w:pPr>
              <w:jc w:val="center"/>
            </w:pPr>
            <w:r w:rsidRPr="00545AE6">
              <w:t>19.59</w:t>
            </w:r>
            <w:r w:rsidR="00D447FE" w:rsidRPr="00545AE6">
              <w:t>%</w:t>
            </w:r>
          </w:p>
        </w:tc>
      </w:tr>
    </w:tbl>
    <w:p w14:paraId="712DBAA9" w14:textId="1D66BEF2" w:rsidR="00D447FE" w:rsidRDefault="00D447FE">
      <w:r>
        <w:br w:type="page"/>
      </w:r>
    </w:p>
    <w:p w14:paraId="57221A91" w14:textId="1EEB0057" w:rsidR="00DC0ACF" w:rsidRPr="0063792C" w:rsidRDefault="00DC0ACF" w:rsidP="00DC0ACF">
      <w:pPr>
        <w:rPr>
          <w:b/>
          <w:bCs/>
          <w:i/>
          <w:iCs/>
        </w:rPr>
      </w:pPr>
      <w:r w:rsidRPr="0063792C">
        <w:rPr>
          <w:b/>
          <w:bCs/>
          <w:i/>
          <w:iCs/>
        </w:rPr>
        <w:lastRenderedPageBreak/>
        <w:t>Outstanding Options, S</w:t>
      </w:r>
      <w:r w:rsidR="005D5DA5">
        <w:rPr>
          <w:b/>
          <w:bCs/>
          <w:i/>
          <w:iCs/>
        </w:rPr>
        <w:t>AFE</w:t>
      </w:r>
      <w:r w:rsidRPr="0063792C">
        <w:rPr>
          <w:b/>
          <w:bCs/>
          <w:i/>
          <w:iCs/>
        </w:rPr>
        <w:t xml:space="preserve">s, Convertible Notes, Warrants </w:t>
      </w:r>
    </w:p>
    <w:p w14:paraId="52621666" w14:textId="77777777" w:rsidR="00DC0ACF" w:rsidRPr="0063792C" w:rsidRDefault="00DC0ACF" w:rsidP="00DC0ACF">
      <w:pPr>
        <w:rPr>
          <w:b/>
        </w:rPr>
      </w:pPr>
    </w:p>
    <w:p w14:paraId="5037359F" w14:textId="1BC72F5F" w:rsidR="00D447FE" w:rsidRPr="0063792C" w:rsidRDefault="00D447FE" w:rsidP="00D447FE">
      <w:bookmarkStart w:id="48" w:name="_Toc103593661"/>
      <w:r w:rsidRPr="0063792C">
        <w:t xml:space="preserve">As of the date of this Form C, the </w:t>
      </w:r>
      <w:r w:rsidR="00856D91">
        <w:rPr>
          <w:bCs/>
        </w:rPr>
        <w:t>Issuer</w:t>
      </w:r>
      <w:r w:rsidRPr="0063792C">
        <w:t xml:space="preserve"> has the following additional securities outstanding:</w:t>
      </w:r>
    </w:p>
    <w:p w14:paraId="1B0BF0B8" w14:textId="77777777" w:rsidR="00C776FF" w:rsidRDefault="00C776FF" w:rsidP="00C776FF"/>
    <w:tbl>
      <w:tblPr>
        <w:tblW w:w="0" w:type="auto"/>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C776FF" w:rsidRPr="0063792C" w14:paraId="17F1BE5D" w14:textId="77777777" w:rsidTr="0026584F">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41E88C1" w14:textId="77777777" w:rsidR="00C776FF" w:rsidRPr="0063792C" w:rsidRDefault="00C776FF" w:rsidP="0026584F">
            <w:pPr>
              <w:keepNext/>
              <w:jc w:val="center"/>
            </w:pPr>
            <w:r w:rsidRPr="0063792C">
              <w:rPr>
                <w:b/>
                <w:bCs/>
              </w:rPr>
              <w:t>Type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7119A6" w14:textId="006B718E" w:rsidR="00C776FF" w:rsidRPr="0063792C" w:rsidRDefault="00C776FF" w:rsidP="0026584F">
            <w:pPr>
              <w:jc w:val="center"/>
            </w:pPr>
            <w:r>
              <w:t>Option to Purchase Common Stock</w:t>
            </w:r>
            <w:r w:rsidR="000C4551">
              <w:t xml:space="preserve"> under the Issuer’s 2016 Stock</w:t>
            </w:r>
            <w:r w:rsidR="000C4551" w:rsidRPr="0054280C">
              <w:t xml:space="preserve"> Incentive Plan</w:t>
            </w:r>
          </w:p>
        </w:tc>
      </w:tr>
      <w:tr w:rsidR="00C776FF" w:rsidRPr="0063792C" w14:paraId="4C7401E7" w14:textId="77777777" w:rsidTr="0026584F">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020AD15" w14:textId="77777777" w:rsidR="00C776FF" w:rsidRPr="0063792C" w:rsidRDefault="00C776FF" w:rsidP="0026584F">
            <w:pPr>
              <w:keepNext/>
              <w:jc w:val="center"/>
            </w:pPr>
            <w:r>
              <w:rPr>
                <w:b/>
                <w:bCs/>
              </w:rPr>
              <w:t>Shares Issuable Upon Exercise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9CDA6A" w14:textId="1E8B7D4B" w:rsidR="00C776FF" w:rsidRPr="0063792C" w:rsidRDefault="00C776FF" w:rsidP="0026584F">
            <w:pPr>
              <w:jc w:val="center"/>
            </w:pPr>
            <w:r>
              <w:t>400,000</w:t>
            </w:r>
          </w:p>
        </w:tc>
      </w:tr>
      <w:tr w:rsidR="00C776FF" w:rsidRPr="0063792C" w14:paraId="62CF3042" w14:textId="77777777" w:rsidTr="0026584F">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979DC41" w14:textId="77777777" w:rsidR="00C776FF" w:rsidRPr="0063792C" w:rsidRDefault="00C776FF" w:rsidP="0026584F">
            <w:pPr>
              <w:keepNext/>
              <w:jc w:val="center"/>
            </w:pPr>
            <w:r w:rsidRPr="0063792C">
              <w:rPr>
                <w:b/>
                <w:bCs/>
              </w:rPr>
              <w:t>Voting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035B37" w14:textId="77777777" w:rsidR="00C776FF" w:rsidRPr="0063792C" w:rsidRDefault="00C776FF" w:rsidP="0026584F">
            <w:pPr>
              <w:jc w:val="center"/>
            </w:pPr>
            <w:r>
              <w:t>The holders of Options to purchase Common Stock are not entitled to vote.</w:t>
            </w:r>
          </w:p>
        </w:tc>
      </w:tr>
      <w:tr w:rsidR="00C776FF" w:rsidRPr="0063792C" w14:paraId="7F78F123" w14:textId="77777777" w:rsidTr="0026584F">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17B47BE" w14:textId="77777777" w:rsidR="00C776FF" w:rsidRPr="0063792C" w:rsidRDefault="00C776FF" w:rsidP="0026584F">
            <w:pPr>
              <w:keepNext/>
              <w:jc w:val="center"/>
            </w:pPr>
            <w:r w:rsidRPr="0063792C">
              <w:rPr>
                <w:b/>
                <w:bCs/>
              </w:rPr>
              <w:t>Anti-Dilution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7C0FDA" w14:textId="77777777" w:rsidR="00C776FF" w:rsidRPr="0063792C" w:rsidRDefault="00C776FF" w:rsidP="0026584F">
            <w:pPr>
              <w:jc w:val="center"/>
            </w:pPr>
            <w:r>
              <w:t>None</w:t>
            </w:r>
          </w:p>
        </w:tc>
      </w:tr>
      <w:tr w:rsidR="00C776FF" w:rsidRPr="0063792C" w14:paraId="015508DE" w14:textId="77777777" w:rsidTr="0026584F">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DC7CED6" w14:textId="77777777" w:rsidR="00C776FF" w:rsidRPr="0063792C" w:rsidRDefault="00C776FF" w:rsidP="0026584F">
            <w:pPr>
              <w:keepNext/>
              <w:jc w:val="center"/>
              <w:rPr>
                <w:b/>
                <w:bCs/>
              </w:rPr>
            </w:pPr>
            <w:r w:rsidRPr="0063792C">
              <w:rPr>
                <w:b/>
                <w:bCs/>
              </w:rPr>
              <w:t xml:space="preserve">Material Terms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56E326" w14:textId="77777777" w:rsidR="00C776FF" w:rsidRPr="0063792C" w:rsidRDefault="00C776FF" w:rsidP="0026584F">
            <w:pPr>
              <w:jc w:val="center"/>
            </w:pPr>
            <w:r>
              <w:t>Each Option, upon exercise, grants the holder of such Option, the right to purchase shares of Common Stock at a pre-determined price.</w:t>
            </w:r>
          </w:p>
        </w:tc>
      </w:tr>
      <w:tr w:rsidR="00C776FF" w:rsidRPr="0063792C" w14:paraId="42A43D1E" w14:textId="77777777" w:rsidTr="0026584F">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641DAE1" w14:textId="77777777" w:rsidR="00C776FF" w:rsidRPr="0063792C" w:rsidRDefault="00C776FF" w:rsidP="0026584F">
            <w:pPr>
              <w:keepNext/>
              <w:jc w:val="center"/>
            </w:pPr>
            <w:r w:rsidRPr="0063792C">
              <w:rPr>
                <w:b/>
                <w:bCs/>
              </w:rPr>
              <w:t>How this security may limit, dilute or qualify the Security issued pursuant to Regulation CF</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76C65B" w14:textId="77777777" w:rsidR="00C776FF" w:rsidRPr="0063792C" w:rsidRDefault="00C776FF" w:rsidP="0026584F">
            <w:pPr>
              <w:jc w:val="center"/>
            </w:pPr>
            <w:r>
              <w:t xml:space="preserve">The </w:t>
            </w:r>
            <w:r>
              <w:rPr>
                <w:bCs/>
              </w:rPr>
              <w:t>Issuer</w:t>
            </w:r>
            <w:r>
              <w:t xml:space="preserve"> may issue additional Options to purchase Common Stock at a later date. The availability of any shares of Common Stock issued pursuant to the exercise of such additional Options to purchase Common Stock would be dilutive, and could adversely affect the value of the Securities issued pursuant to Regulation CF.</w:t>
            </w:r>
          </w:p>
        </w:tc>
      </w:tr>
      <w:tr w:rsidR="00C776FF" w:rsidRPr="0063792C" w14:paraId="1B559634" w14:textId="77777777" w:rsidTr="0026584F">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1C97A3F" w14:textId="77777777" w:rsidR="00C776FF" w:rsidRPr="0063792C" w:rsidRDefault="00C776FF" w:rsidP="0026584F">
            <w:pPr>
              <w:jc w:val="center"/>
            </w:pPr>
            <w:r w:rsidRPr="0063792C">
              <w:rPr>
                <w:b/>
                <w:bCs/>
              </w:rPr>
              <w:t xml:space="preserve">Percentage ownership of the </w:t>
            </w:r>
            <w:r>
              <w:rPr>
                <w:b/>
                <w:bCs/>
              </w:rPr>
              <w:t>Issuer</w:t>
            </w:r>
            <w:r w:rsidRPr="0063792C">
              <w:rPr>
                <w:b/>
                <w:bCs/>
              </w:rPr>
              <w:t xml:space="preserve"> by the holders of such security (assuming conversion prior to the Offering if convertible securities).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638E44" w14:textId="678A4FF6" w:rsidR="00C776FF" w:rsidRPr="0063792C" w:rsidRDefault="00545AE6" w:rsidP="0026584F">
            <w:pPr>
              <w:jc w:val="center"/>
            </w:pPr>
            <w:r>
              <w:t>2.35</w:t>
            </w:r>
            <w:r w:rsidR="00C776FF">
              <w:t>%</w:t>
            </w:r>
          </w:p>
        </w:tc>
      </w:tr>
    </w:tbl>
    <w:p w14:paraId="2260310E" w14:textId="77777777" w:rsidR="00C776FF" w:rsidRDefault="00C776FF" w:rsidP="00D447FE"/>
    <w:p w14:paraId="47AF5A8D" w14:textId="77777777" w:rsidR="000C4551" w:rsidRDefault="000C4551" w:rsidP="00D447FE"/>
    <w:tbl>
      <w:tblPr>
        <w:tblW w:w="9360" w:type="dxa"/>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3334F6" w:rsidRPr="0063792C" w14:paraId="22719039" w14:textId="77777777" w:rsidTr="00AB1961">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FD6A7E9" w14:textId="77777777" w:rsidR="003334F6" w:rsidRPr="0063792C" w:rsidRDefault="003334F6" w:rsidP="00AB1961">
            <w:pPr>
              <w:keepNext/>
              <w:jc w:val="center"/>
            </w:pPr>
            <w:r w:rsidRPr="0063792C">
              <w:rPr>
                <w:b/>
                <w:bCs/>
              </w:rPr>
              <w:t>Type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F46273" w14:textId="4D9D3044" w:rsidR="003334F6" w:rsidRPr="0063792C" w:rsidRDefault="003334F6" w:rsidP="00AB1961">
            <w:pPr>
              <w:jc w:val="center"/>
            </w:pPr>
            <w:r>
              <w:t>Fixed Percentage Convertible Equity Agreement</w:t>
            </w:r>
          </w:p>
        </w:tc>
      </w:tr>
      <w:tr w:rsidR="003334F6" w:rsidRPr="0063792C" w14:paraId="14EBD4E1" w14:textId="77777777" w:rsidTr="00AB1961">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9B6A841" w14:textId="77777777" w:rsidR="003334F6" w:rsidRPr="0063792C" w:rsidRDefault="003334F6" w:rsidP="00AB1961">
            <w:pPr>
              <w:keepNext/>
              <w:jc w:val="center"/>
            </w:pPr>
            <w:r>
              <w:rPr>
                <w:b/>
                <w:bCs/>
              </w:rPr>
              <w:t>Shares Issuable Upon Exercise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61C5BD" w14:textId="0B803526" w:rsidR="003334F6" w:rsidRPr="0063792C" w:rsidRDefault="003334F6" w:rsidP="00AB1961">
            <w:pPr>
              <w:jc w:val="center"/>
            </w:pPr>
            <w:r>
              <w:t>4.5% of Fully-Diluted Capital</w:t>
            </w:r>
          </w:p>
        </w:tc>
      </w:tr>
      <w:tr w:rsidR="003334F6" w:rsidRPr="0063792C" w14:paraId="0E9C1842" w14:textId="77777777" w:rsidTr="00AB1961">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65280E6" w14:textId="77777777" w:rsidR="003334F6" w:rsidRPr="0063792C" w:rsidRDefault="003334F6" w:rsidP="00AB1961">
            <w:pPr>
              <w:keepNext/>
              <w:jc w:val="center"/>
            </w:pPr>
            <w:r w:rsidRPr="0063792C">
              <w:rPr>
                <w:b/>
                <w:bCs/>
              </w:rPr>
              <w:t>Voting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27C422" w14:textId="3BF53FE7" w:rsidR="003334F6" w:rsidRPr="0063792C" w:rsidRDefault="003334F6" w:rsidP="00AB1961">
            <w:pPr>
              <w:jc w:val="center"/>
            </w:pPr>
            <w:r>
              <w:t>The holder of the Fixed Percentage Convertible Equity Agreement is not entitled to vote.</w:t>
            </w:r>
          </w:p>
        </w:tc>
      </w:tr>
      <w:tr w:rsidR="003334F6" w:rsidRPr="0063792C" w14:paraId="7E00FCD7" w14:textId="77777777" w:rsidTr="00AB1961">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55B4F88" w14:textId="77777777" w:rsidR="003334F6" w:rsidRPr="0063792C" w:rsidRDefault="003334F6" w:rsidP="00AB1961">
            <w:pPr>
              <w:keepNext/>
              <w:jc w:val="center"/>
            </w:pPr>
            <w:r w:rsidRPr="0063792C">
              <w:rPr>
                <w:b/>
                <w:bCs/>
              </w:rPr>
              <w:t>Anti-Dilution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06C6AE" w14:textId="77777777" w:rsidR="003334F6" w:rsidRPr="0063792C" w:rsidRDefault="003334F6" w:rsidP="00AB1961">
            <w:pPr>
              <w:jc w:val="center"/>
            </w:pPr>
            <w:r>
              <w:t>None</w:t>
            </w:r>
          </w:p>
        </w:tc>
      </w:tr>
      <w:tr w:rsidR="003334F6" w:rsidRPr="0063792C" w14:paraId="4B0BA9F4" w14:textId="77777777" w:rsidTr="00AB1961">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6F0B939" w14:textId="77777777" w:rsidR="003334F6" w:rsidRPr="0063792C" w:rsidRDefault="003334F6" w:rsidP="00AB1961">
            <w:pPr>
              <w:keepNext/>
              <w:jc w:val="center"/>
              <w:rPr>
                <w:b/>
                <w:bCs/>
              </w:rPr>
            </w:pPr>
            <w:r w:rsidRPr="0063792C">
              <w:rPr>
                <w:b/>
                <w:bCs/>
              </w:rPr>
              <w:t xml:space="preserve">Material Terms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FE6F96" w14:textId="06E44FFE" w:rsidR="003334F6" w:rsidRPr="0063792C" w:rsidRDefault="003334F6" w:rsidP="00AB1961">
            <w:pPr>
              <w:jc w:val="center"/>
            </w:pPr>
            <w:r>
              <w:t>The Fixed Percentage Convertible Equity Agreement, grants the holder of such Fixed Percentage Convertible Equity Agreement, the right to receive a fixed percentage of the Issuer’s Common Stock upon a qualified financing above $250,000, a Liquidity Event, a Dissolution Event or within 15 days of a demand notice from the holder.</w:t>
            </w:r>
          </w:p>
        </w:tc>
      </w:tr>
      <w:tr w:rsidR="00B003CB" w:rsidRPr="0063792C" w14:paraId="5940E16A" w14:textId="77777777" w:rsidTr="00AB1961">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35F0092" w14:textId="6B05965A" w:rsidR="00B003CB" w:rsidRPr="0063792C" w:rsidRDefault="00B003CB" w:rsidP="00B003CB">
            <w:pPr>
              <w:keepNext/>
              <w:jc w:val="center"/>
              <w:rPr>
                <w:b/>
                <w:bCs/>
              </w:rPr>
            </w:pPr>
            <w:r w:rsidRPr="0063792C">
              <w:rPr>
                <w:b/>
                <w:bCs/>
              </w:rPr>
              <w:t>How this security may limit, dilute or qualify the Security issued pursuant to Regulation CF</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A5C9F1" w14:textId="5E7E8D7C" w:rsidR="00B003CB" w:rsidRDefault="00B003CB" w:rsidP="00B003CB">
            <w:pPr>
              <w:jc w:val="center"/>
            </w:pPr>
            <w:r>
              <w:t xml:space="preserve">The </w:t>
            </w:r>
            <w:r>
              <w:rPr>
                <w:bCs/>
              </w:rPr>
              <w:t>Issuer</w:t>
            </w:r>
            <w:r>
              <w:t xml:space="preserve"> may issue additional Convertible Equity Agreements at a later date. The availability of any shares of Common Stock issued pursuant to  Convertible Equity Agreements would be dilutive, and could adversely affect the value of the Securities issued pursuant to Regulation CF.</w:t>
            </w:r>
          </w:p>
        </w:tc>
      </w:tr>
      <w:tr w:rsidR="00B003CB" w:rsidRPr="0063792C" w14:paraId="14C9925A" w14:textId="77777777" w:rsidTr="00B003CB">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5076E05" w14:textId="77777777" w:rsidR="00B003CB" w:rsidRPr="00B003CB" w:rsidRDefault="00B003CB" w:rsidP="00B003CB">
            <w:pPr>
              <w:keepNext/>
              <w:jc w:val="center"/>
              <w:rPr>
                <w:b/>
                <w:bCs/>
              </w:rPr>
            </w:pPr>
            <w:r w:rsidRPr="0063792C">
              <w:rPr>
                <w:b/>
                <w:bCs/>
              </w:rPr>
              <w:t xml:space="preserve">Percentage ownership of the </w:t>
            </w:r>
            <w:r>
              <w:rPr>
                <w:b/>
                <w:bCs/>
              </w:rPr>
              <w:t>Issuer</w:t>
            </w:r>
            <w:r w:rsidRPr="0063792C">
              <w:rPr>
                <w:b/>
                <w:bCs/>
              </w:rPr>
              <w:t xml:space="preserve"> by the holders of such security (assuming conversion prior to the Offering if convertible securities).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48F48" w14:textId="7644B536" w:rsidR="00B003CB" w:rsidRPr="0063792C" w:rsidRDefault="00707075" w:rsidP="00B003CB">
            <w:pPr>
              <w:jc w:val="center"/>
            </w:pPr>
            <w:r>
              <w:t>4.5</w:t>
            </w:r>
            <w:r w:rsidR="00545AE6">
              <w:t>0</w:t>
            </w:r>
            <w:r w:rsidR="00B003CB">
              <w:t>%</w:t>
            </w:r>
          </w:p>
        </w:tc>
      </w:tr>
    </w:tbl>
    <w:p w14:paraId="3002CA94" w14:textId="77777777" w:rsidR="00D447FE" w:rsidRDefault="00D447FE" w:rsidP="00D447FE"/>
    <w:p w14:paraId="7622511A" w14:textId="77777777" w:rsidR="00D447FE" w:rsidRDefault="00D447FE" w:rsidP="00D447FE"/>
    <w:tbl>
      <w:tblPr>
        <w:tblW w:w="9360" w:type="dxa"/>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D447FE" w:rsidRPr="0063792C" w14:paraId="6A9D339E" w14:textId="77777777" w:rsidTr="00525E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484A466" w14:textId="77777777" w:rsidR="00D447FE" w:rsidRPr="0063792C" w:rsidRDefault="00D447FE" w:rsidP="00525EE2">
            <w:pPr>
              <w:keepNext/>
              <w:jc w:val="center"/>
            </w:pPr>
            <w:r w:rsidRPr="0063792C">
              <w:rPr>
                <w:b/>
                <w:bCs/>
              </w:rPr>
              <w:t>Type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A3D132" w14:textId="2AC43708" w:rsidR="00D447FE" w:rsidRPr="0063792C" w:rsidRDefault="00D447FE" w:rsidP="00525EE2">
            <w:pPr>
              <w:jc w:val="center"/>
            </w:pPr>
            <w:r>
              <w:t>SAFE (Simple Agreement</w:t>
            </w:r>
            <w:r w:rsidR="00BC63E0">
              <w:t>s</w:t>
            </w:r>
            <w:r>
              <w:t xml:space="preserve"> for Future Equity)</w:t>
            </w:r>
          </w:p>
        </w:tc>
      </w:tr>
      <w:tr w:rsidR="00D447FE" w:rsidRPr="0063792C" w14:paraId="37D2AD94" w14:textId="77777777" w:rsidTr="00525E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BD2270A" w14:textId="2F9A0FB5" w:rsidR="00D447FE" w:rsidRPr="0063792C" w:rsidRDefault="00C94D2F" w:rsidP="00525EE2">
            <w:pPr>
              <w:keepNext/>
              <w:jc w:val="center"/>
            </w:pPr>
            <w:r>
              <w:rPr>
                <w:b/>
                <w:bCs/>
              </w:rPr>
              <w:t xml:space="preserve">Principal </w:t>
            </w:r>
            <w:r w:rsidR="002F6E60">
              <w:rPr>
                <w:b/>
                <w:bCs/>
              </w:rPr>
              <w:t>Amount Outstanding</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308107" w14:textId="61F60242" w:rsidR="00D447FE" w:rsidRPr="0063792C" w:rsidRDefault="00D447FE" w:rsidP="00525EE2">
            <w:pPr>
              <w:jc w:val="center"/>
            </w:pPr>
            <w:r>
              <w:t>$</w:t>
            </w:r>
            <w:r w:rsidR="00F04315">
              <w:t>176,990</w:t>
            </w:r>
          </w:p>
        </w:tc>
      </w:tr>
      <w:tr w:rsidR="00D447FE" w:rsidRPr="0063792C" w14:paraId="77F67182" w14:textId="77777777" w:rsidTr="00525E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859DDE9" w14:textId="77777777" w:rsidR="00D447FE" w:rsidRPr="0063792C" w:rsidRDefault="00D447FE" w:rsidP="00525EE2">
            <w:pPr>
              <w:keepNext/>
              <w:jc w:val="center"/>
            </w:pPr>
            <w:r w:rsidRPr="0063792C">
              <w:rPr>
                <w:b/>
                <w:bCs/>
              </w:rPr>
              <w:t>Voting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A2F0A4" w14:textId="77777777" w:rsidR="00D447FE" w:rsidRPr="0063792C" w:rsidRDefault="00D447FE" w:rsidP="00525EE2">
            <w:pPr>
              <w:jc w:val="center"/>
            </w:pPr>
            <w:r>
              <w:t>The holders of SAFEs are not entitled to vote.</w:t>
            </w:r>
          </w:p>
        </w:tc>
      </w:tr>
      <w:tr w:rsidR="00D447FE" w:rsidRPr="0063792C" w14:paraId="0F7B4FDF" w14:textId="77777777" w:rsidTr="00525E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46D6F54" w14:textId="77777777" w:rsidR="00D447FE" w:rsidRPr="0063792C" w:rsidRDefault="00D447FE" w:rsidP="00525EE2">
            <w:pPr>
              <w:keepNext/>
              <w:jc w:val="center"/>
            </w:pPr>
            <w:r w:rsidRPr="0063792C">
              <w:rPr>
                <w:b/>
                <w:bCs/>
              </w:rPr>
              <w:t>Anti-Dilution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54C0F5" w14:textId="77777777" w:rsidR="00D447FE" w:rsidRPr="0063792C" w:rsidRDefault="00D447FE" w:rsidP="00525EE2">
            <w:pPr>
              <w:jc w:val="center"/>
            </w:pPr>
            <w:r>
              <w:t>None</w:t>
            </w:r>
          </w:p>
        </w:tc>
      </w:tr>
      <w:tr w:rsidR="00D447FE" w:rsidRPr="0063792C" w14:paraId="525D4752" w14:textId="77777777" w:rsidTr="00525E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8B3E1D3" w14:textId="77777777" w:rsidR="00D447FE" w:rsidRPr="0063792C" w:rsidRDefault="00D447FE" w:rsidP="00525EE2">
            <w:pPr>
              <w:keepNext/>
              <w:jc w:val="center"/>
              <w:rPr>
                <w:b/>
                <w:bCs/>
              </w:rPr>
            </w:pPr>
            <w:r w:rsidRPr="0063792C">
              <w:rPr>
                <w:b/>
                <w:bCs/>
              </w:rPr>
              <w:t xml:space="preserve">Material Terms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E67D30" w14:textId="56BA1AFC" w:rsidR="00D447FE" w:rsidRPr="0063792C" w:rsidRDefault="00D447FE" w:rsidP="00F04315">
            <w:pPr>
              <w:jc w:val="center"/>
            </w:pPr>
            <w:r>
              <w:t>V</w:t>
            </w:r>
            <w:r w:rsidRPr="00665A2F">
              <w:t xml:space="preserve">aluation cap </w:t>
            </w:r>
            <w:r>
              <w:t xml:space="preserve">of </w:t>
            </w:r>
            <w:r w:rsidRPr="00665A2F">
              <w:t>$</w:t>
            </w:r>
            <w:r w:rsidR="00F04315">
              <w:t>7,5</w:t>
            </w:r>
            <w:r>
              <w:t>00,000</w:t>
            </w:r>
          </w:p>
        </w:tc>
      </w:tr>
      <w:tr w:rsidR="00D447FE" w:rsidRPr="0063792C" w14:paraId="6480FF53" w14:textId="77777777" w:rsidTr="00525E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F85E70F" w14:textId="77777777" w:rsidR="00D447FE" w:rsidRPr="0063792C" w:rsidRDefault="00D447FE" w:rsidP="00525EE2">
            <w:pPr>
              <w:keepNext/>
              <w:jc w:val="center"/>
            </w:pPr>
            <w:r w:rsidRPr="0063792C">
              <w:rPr>
                <w:b/>
                <w:bCs/>
              </w:rPr>
              <w:t>How this security may limit, dilute or qualify the Security issued pursuant to Regulation CF</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FE1539" w14:textId="1DA2E769" w:rsidR="00D447FE" w:rsidRPr="0063792C" w:rsidRDefault="00D447FE" w:rsidP="00525EE2">
            <w:pPr>
              <w:jc w:val="center"/>
            </w:pPr>
            <w:r>
              <w:t xml:space="preserve">The </w:t>
            </w:r>
            <w:r w:rsidR="00856D91">
              <w:rPr>
                <w:bCs/>
              </w:rPr>
              <w:t>Issuer</w:t>
            </w:r>
            <w:r>
              <w:t xml:space="preserve"> may issue additional SAFEs at a later date. </w:t>
            </w:r>
            <w:r w:rsidR="00DD4B5A">
              <w:t xml:space="preserve">The issuance of such additional </w:t>
            </w:r>
            <w:r w:rsidR="00BD472A">
              <w:t>SAFEs</w:t>
            </w:r>
            <w:r w:rsidR="00DD4B5A">
              <w:t xml:space="preserve"> would be dilutive, and could adversely affect the value of the Securities issued pursuant to Regulation CF.</w:t>
            </w:r>
          </w:p>
        </w:tc>
      </w:tr>
      <w:tr w:rsidR="00D447FE" w:rsidRPr="0063792C" w14:paraId="29ADB682" w14:textId="77777777" w:rsidTr="00525E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3D00844" w14:textId="503BAE15" w:rsidR="00D447FE" w:rsidRPr="0063792C" w:rsidRDefault="00D447FE" w:rsidP="00525EE2">
            <w:pPr>
              <w:jc w:val="center"/>
            </w:pPr>
            <w:r w:rsidRPr="0063792C">
              <w:rPr>
                <w:b/>
                <w:bCs/>
              </w:rPr>
              <w:t xml:space="preserve">Percentage ownership of the </w:t>
            </w:r>
            <w:r w:rsidR="00856D91">
              <w:rPr>
                <w:b/>
                <w:bCs/>
              </w:rPr>
              <w:t>Issuer</w:t>
            </w:r>
            <w:r w:rsidRPr="0063792C">
              <w:rPr>
                <w:b/>
                <w:bCs/>
              </w:rPr>
              <w:t xml:space="preserve"> by the holders of such security (assuming conversion prior to the Offering if convertible securities).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D9EEDF" w14:textId="2357D872" w:rsidR="00D447FE" w:rsidRPr="0063792C" w:rsidRDefault="00545AE6" w:rsidP="00525EE2">
            <w:pPr>
              <w:jc w:val="center"/>
            </w:pPr>
            <w:r w:rsidRPr="00545AE6">
              <w:t>1.88</w:t>
            </w:r>
            <w:r w:rsidR="00D447FE" w:rsidRPr="00545AE6">
              <w:t>%</w:t>
            </w:r>
            <w:r w:rsidR="00D447FE">
              <w:t xml:space="preserve"> </w:t>
            </w:r>
          </w:p>
        </w:tc>
      </w:tr>
    </w:tbl>
    <w:p w14:paraId="083F565F" w14:textId="77777777" w:rsidR="00D447FE" w:rsidRDefault="00D447FE" w:rsidP="00D447FE"/>
    <w:p w14:paraId="00E13662" w14:textId="77777777" w:rsidR="00D447FE" w:rsidRDefault="00D447FE" w:rsidP="00D447FE"/>
    <w:tbl>
      <w:tblPr>
        <w:tblW w:w="9360" w:type="dxa"/>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F04315" w:rsidRPr="0063792C" w14:paraId="1E9B43C8" w14:textId="77777777" w:rsidTr="00AB1961">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4285999" w14:textId="77777777" w:rsidR="00F04315" w:rsidRPr="0063792C" w:rsidRDefault="00F04315" w:rsidP="00AB1961">
            <w:pPr>
              <w:keepNext/>
              <w:jc w:val="center"/>
            </w:pPr>
            <w:r w:rsidRPr="0063792C">
              <w:rPr>
                <w:b/>
                <w:bCs/>
              </w:rPr>
              <w:t>Type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02343F" w14:textId="77777777" w:rsidR="00F04315" w:rsidRPr="0063792C" w:rsidRDefault="00F04315" w:rsidP="00AB1961">
            <w:pPr>
              <w:jc w:val="center"/>
            </w:pPr>
            <w:r>
              <w:t>SAFE (Simple Agreements for Future Equity)</w:t>
            </w:r>
          </w:p>
        </w:tc>
      </w:tr>
      <w:tr w:rsidR="00F04315" w:rsidRPr="0063792C" w14:paraId="05C87E37" w14:textId="77777777" w:rsidTr="00AB1961">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58422E7" w14:textId="77777777" w:rsidR="00F04315" w:rsidRPr="0063792C" w:rsidRDefault="00F04315" w:rsidP="00AB1961">
            <w:pPr>
              <w:keepNext/>
              <w:jc w:val="center"/>
            </w:pPr>
            <w:r>
              <w:rPr>
                <w:b/>
                <w:bCs/>
              </w:rPr>
              <w:t>Principal Amount Outstanding</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3BCA30" w14:textId="4EB74DF1" w:rsidR="00F04315" w:rsidRPr="0063792C" w:rsidRDefault="00F04315" w:rsidP="00AB1961">
            <w:pPr>
              <w:jc w:val="center"/>
            </w:pPr>
            <w:r>
              <w:t>$</w:t>
            </w:r>
            <w:r w:rsidR="007E14F7">
              <w:t>171,400</w:t>
            </w:r>
          </w:p>
        </w:tc>
      </w:tr>
      <w:tr w:rsidR="00F04315" w:rsidRPr="0063792C" w14:paraId="45A10DB4" w14:textId="77777777" w:rsidTr="00AB1961">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79EB14F" w14:textId="77777777" w:rsidR="00F04315" w:rsidRPr="0063792C" w:rsidRDefault="00F04315" w:rsidP="00AB1961">
            <w:pPr>
              <w:keepNext/>
              <w:jc w:val="center"/>
            </w:pPr>
            <w:r w:rsidRPr="0063792C">
              <w:rPr>
                <w:b/>
                <w:bCs/>
              </w:rPr>
              <w:t>Voting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051FC8" w14:textId="77777777" w:rsidR="00F04315" w:rsidRPr="0063792C" w:rsidRDefault="00F04315" w:rsidP="00AB1961">
            <w:pPr>
              <w:jc w:val="center"/>
            </w:pPr>
            <w:r>
              <w:t>The holders of SAFEs are not entitled to vote.</w:t>
            </w:r>
          </w:p>
        </w:tc>
      </w:tr>
      <w:tr w:rsidR="00F04315" w:rsidRPr="0063792C" w14:paraId="5FCA49FE" w14:textId="77777777" w:rsidTr="00AB1961">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E978842" w14:textId="77777777" w:rsidR="00F04315" w:rsidRPr="0063792C" w:rsidRDefault="00F04315" w:rsidP="00AB1961">
            <w:pPr>
              <w:keepNext/>
              <w:jc w:val="center"/>
            </w:pPr>
            <w:r w:rsidRPr="0063792C">
              <w:rPr>
                <w:b/>
                <w:bCs/>
              </w:rPr>
              <w:t>Anti-Dilution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532BF6" w14:textId="77777777" w:rsidR="00F04315" w:rsidRPr="0063792C" w:rsidRDefault="00F04315" w:rsidP="00AB1961">
            <w:pPr>
              <w:jc w:val="center"/>
            </w:pPr>
            <w:r>
              <w:t>None</w:t>
            </w:r>
          </w:p>
        </w:tc>
      </w:tr>
      <w:tr w:rsidR="00F04315" w:rsidRPr="0063792C" w14:paraId="389241BC" w14:textId="77777777" w:rsidTr="00AB1961">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E857601" w14:textId="77777777" w:rsidR="00F04315" w:rsidRPr="0063792C" w:rsidRDefault="00F04315" w:rsidP="00AB1961">
            <w:pPr>
              <w:keepNext/>
              <w:jc w:val="center"/>
              <w:rPr>
                <w:b/>
                <w:bCs/>
              </w:rPr>
            </w:pPr>
            <w:r w:rsidRPr="0063792C">
              <w:rPr>
                <w:b/>
                <w:bCs/>
              </w:rPr>
              <w:t xml:space="preserve">Material Terms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0CF150" w14:textId="759B25AA" w:rsidR="00F04315" w:rsidRPr="0063792C" w:rsidRDefault="00F04315" w:rsidP="00AB1961">
            <w:pPr>
              <w:jc w:val="center"/>
            </w:pPr>
            <w:r>
              <w:t>V</w:t>
            </w:r>
            <w:r w:rsidRPr="00665A2F">
              <w:t xml:space="preserve">aluation cap </w:t>
            </w:r>
            <w:r>
              <w:t xml:space="preserve">of </w:t>
            </w:r>
            <w:r w:rsidRPr="00665A2F">
              <w:t>$</w:t>
            </w:r>
            <w:r w:rsidR="007E14F7">
              <w:t>3,0</w:t>
            </w:r>
            <w:r>
              <w:t>00,000</w:t>
            </w:r>
            <w:r w:rsidR="007E14F7">
              <w:t>; Discount of 20%</w:t>
            </w:r>
          </w:p>
        </w:tc>
      </w:tr>
      <w:tr w:rsidR="00F04315" w:rsidRPr="0063792C" w14:paraId="1A8BCAA7" w14:textId="77777777" w:rsidTr="00AB1961">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DF0A190" w14:textId="77777777" w:rsidR="00F04315" w:rsidRPr="0063792C" w:rsidRDefault="00F04315" w:rsidP="00AB1961">
            <w:pPr>
              <w:keepNext/>
              <w:jc w:val="center"/>
            </w:pPr>
            <w:r w:rsidRPr="0063792C">
              <w:rPr>
                <w:b/>
                <w:bCs/>
              </w:rPr>
              <w:t>How this security may limit, dilute or qualify the Security issued pursuant to Regulation CF</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72EA1A" w14:textId="77777777" w:rsidR="00F04315" w:rsidRPr="0063792C" w:rsidRDefault="00F04315" w:rsidP="00AB1961">
            <w:pPr>
              <w:jc w:val="center"/>
            </w:pPr>
            <w:r>
              <w:t xml:space="preserve">The </w:t>
            </w:r>
            <w:r>
              <w:rPr>
                <w:bCs/>
              </w:rPr>
              <w:t>Issuer</w:t>
            </w:r>
            <w:r>
              <w:t xml:space="preserve"> may issue additional SAFEs at a later date. The issuance of such additional SAFEs would be dilutive, and could adversely affect the value of the Securities issued pursuant to Regulation CF.</w:t>
            </w:r>
          </w:p>
        </w:tc>
      </w:tr>
      <w:tr w:rsidR="00F04315" w:rsidRPr="0063792C" w14:paraId="61573385" w14:textId="77777777" w:rsidTr="00AB1961">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FEA2F06" w14:textId="77777777" w:rsidR="00F04315" w:rsidRPr="0063792C" w:rsidRDefault="00F04315" w:rsidP="00AB1961">
            <w:pPr>
              <w:jc w:val="center"/>
            </w:pPr>
            <w:r w:rsidRPr="0063792C">
              <w:rPr>
                <w:b/>
                <w:bCs/>
              </w:rPr>
              <w:t xml:space="preserve">Percentage ownership of the </w:t>
            </w:r>
            <w:r>
              <w:rPr>
                <w:b/>
                <w:bCs/>
              </w:rPr>
              <w:t>Issuer</w:t>
            </w:r>
            <w:r w:rsidRPr="0063792C">
              <w:rPr>
                <w:b/>
                <w:bCs/>
              </w:rPr>
              <w:t xml:space="preserve"> by the holders of such security (assuming conversion prior to the Offering if convertible securities).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1AE886" w14:textId="0D95A65B" w:rsidR="00F04315" w:rsidRPr="0063792C" w:rsidRDefault="00545AE6" w:rsidP="00AB1961">
            <w:pPr>
              <w:jc w:val="center"/>
            </w:pPr>
            <w:r w:rsidRPr="00545AE6">
              <w:t>4.56</w:t>
            </w:r>
            <w:r w:rsidR="00F04315" w:rsidRPr="00545AE6">
              <w:t>%</w:t>
            </w:r>
            <w:r w:rsidR="00F04315">
              <w:t xml:space="preserve"> </w:t>
            </w:r>
          </w:p>
        </w:tc>
      </w:tr>
    </w:tbl>
    <w:p w14:paraId="13902932" w14:textId="77777777" w:rsidR="00F04315" w:rsidRDefault="00F04315" w:rsidP="00D447FE"/>
    <w:tbl>
      <w:tblPr>
        <w:tblW w:w="9360" w:type="dxa"/>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7E14F7" w:rsidRPr="0063792C" w14:paraId="7C9DA40B" w14:textId="77777777" w:rsidTr="00AB1961">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935EFF0" w14:textId="77777777" w:rsidR="007E14F7" w:rsidRPr="0063792C" w:rsidRDefault="007E14F7" w:rsidP="00AB1961">
            <w:pPr>
              <w:keepNext/>
              <w:jc w:val="center"/>
            </w:pPr>
            <w:r w:rsidRPr="0063792C">
              <w:rPr>
                <w:b/>
                <w:bCs/>
              </w:rPr>
              <w:t>Type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42BEC6" w14:textId="77777777" w:rsidR="007E14F7" w:rsidRPr="0063792C" w:rsidRDefault="007E14F7" w:rsidP="00AB1961">
            <w:pPr>
              <w:jc w:val="center"/>
            </w:pPr>
            <w:r>
              <w:t>SAFE (Simple Agreements for Future Equity)</w:t>
            </w:r>
          </w:p>
        </w:tc>
      </w:tr>
      <w:tr w:rsidR="007E14F7" w:rsidRPr="0063792C" w14:paraId="766D1FE2" w14:textId="77777777" w:rsidTr="00AB1961">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6AB2C56" w14:textId="77777777" w:rsidR="007E14F7" w:rsidRPr="0063792C" w:rsidRDefault="007E14F7" w:rsidP="00AB1961">
            <w:pPr>
              <w:keepNext/>
              <w:jc w:val="center"/>
            </w:pPr>
            <w:r>
              <w:rPr>
                <w:b/>
                <w:bCs/>
              </w:rPr>
              <w:t>Principal Amount Outstanding</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D0C047" w14:textId="6A4E644B" w:rsidR="007E14F7" w:rsidRPr="0063792C" w:rsidRDefault="007E14F7" w:rsidP="00AB1961">
            <w:pPr>
              <w:jc w:val="center"/>
            </w:pPr>
            <w:r>
              <w:t>$225,000</w:t>
            </w:r>
          </w:p>
        </w:tc>
      </w:tr>
      <w:tr w:rsidR="007E14F7" w:rsidRPr="0063792C" w14:paraId="45A67F23" w14:textId="77777777" w:rsidTr="00AB1961">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36D14DD" w14:textId="77777777" w:rsidR="007E14F7" w:rsidRPr="0063792C" w:rsidRDefault="007E14F7" w:rsidP="00AB1961">
            <w:pPr>
              <w:keepNext/>
              <w:jc w:val="center"/>
            </w:pPr>
            <w:r w:rsidRPr="0063792C">
              <w:rPr>
                <w:b/>
                <w:bCs/>
              </w:rPr>
              <w:t>Voting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C6548E" w14:textId="77777777" w:rsidR="007E14F7" w:rsidRPr="0063792C" w:rsidRDefault="007E14F7" w:rsidP="00AB1961">
            <w:pPr>
              <w:jc w:val="center"/>
            </w:pPr>
            <w:r>
              <w:t>The holders of SAFEs are not entitled to vote.</w:t>
            </w:r>
          </w:p>
        </w:tc>
      </w:tr>
      <w:tr w:rsidR="007E14F7" w:rsidRPr="0063792C" w14:paraId="432E871E" w14:textId="77777777" w:rsidTr="00AB1961">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F683A5B" w14:textId="77777777" w:rsidR="007E14F7" w:rsidRPr="0063792C" w:rsidRDefault="007E14F7" w:rsidP="00AB1961">
            <w:pPr>
              <w:keepNext/>
              <w:jc w:val="center"/>
            </w:pPr>
            <w:r w:rsidRPr="0063792C">
              <w:rPr>
                <w:b/>
                <w:bCs/>
              </w:rPr>
              <w:t>Anti-Dilution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938A53" w14:textId="77777777" w:rsidR="007E14F7" w:rsidRPr="0063792C" w:rsidRDefault="007E14F7" w:rsidP="00AB1961">
            <w:pPr>
              <w:jc w:val="center"/>
            </w:pPr>
            <w:r>
              <w:t>None</w:t>
            </w:r>
          </w:p>
        </w:tc>
      </w:tr>
      <w:tr w:rsidR="007E14F7" w:rsidRPr="0063792C" w14:paraId="6CFD9ADA" w14:textId="77777777" w:rsidTr="00AB1961">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B025234" w14:textId="77777777" w:rsidR="007E14F7" w:rsidRPr="0063792C" w:rsidRDefault="007E14F7" w:rsidP="00AB1961">
            <w:pPr>
              <w:keepNext/>
              <w:jc w:val="center"/>
              <w:rPr>
                <w:b/>
                <w:bCs/>
              </w:rPr>
            </w:pPr>
            <w:r w:rsidRPr="0063792C">
              <w:rPr>
                <w:b/>
                <w:bCs/>
              </w:rPr>
              <w:t xml:space="preserve">Material Terms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187998" w14:textId="28E69F87" w:rsidR="007E14F7" w:rsidRPr="0063792C" w:rsidRDefault="007E14F7" w:rsidP="00AB1961">
            <w:pPr>
              <w:jc w:val="center"/>
            </w:pPr>
            <w:r>
              <w:t>V</w:t>
            </w:r>
            <w:r w:rsidRPr="00665A2F">
              <w:t xml:space="preserve">aluation cap </w:t>
            </w:r>
            <w:r>
              <w:t xml:space="preserve">of </w:t>
            </w:r>
            <w:r w:rsidRPr="00665A2F">
              <w:t>$</w:t>
            </w:r>
            <w:r>
              <w:t>5,000,000</w:t>
            </w:r>
          </w:p>
        </w:tc>
      </w:tr>
      <w:tr w:rsidR="007E14F7" w:rsidRPr="0063792C" w14:paraId="49D3AE9C" w14:textId="77777777" w:rsidTr="00AB1961">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82A86D8" w14:textId="77777777" w:rsidR="007E14F7" w:rsidRPr="0063792C" w:rsidRDefault="007E14F7" w:rsidP="00AB1961">
            <w:pPr>
              <w:keepNext/>
              <w:jc w:val="center"/>
            </w:pPr>
            <w:r w:rsidRPr="0063792C">
              <w:rPr>
                <w:b/>
                <w:bCs/>
              </w:rPr>
              <w:t>How this security may limit, dilute or qualify the Security issued pursuant to Regulation CF</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83EACD" w14:textId="77777777" w:rsidR="007E14F7" w:rsidRPr="0063792C" w:rsidRDefault="007E14F7" w:rsidP="00AB1961">
            <w:pPr>
              <w:jc w:val="center"/>
            </w:pPr>
            <w:r>
              <w:t xml:space="preserve">The </w:t>
            </w:r>
            <w:r>
              <w:rPr>
                <w:bCs/>
              </w:rPr>
              <w:t>Issuer</w:t>
            </w:r>
            <w:r>
              <w:t xml:space="preserve"> may issue additional SAFEs at a later date. The issuance of such additional SAFEs would be dilutive, and could adversely affect the value of the Securities issued pursuant to Regulation CF.</w:t>
            </w:r>
          </w:p>
        </w:tc>
      </w:tr>
      <w:tr w:rsidR="007E14F7" w:rsidRPr="0063792C" w14:paraId="734C6C1D" w14:textId="77777777" w:rsidTr="00AB1961">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8DE857D" w14:textId="77777777" w:rsidR="007E14F7" w:rsidRPr="0063792C" w:rsidRDefault="007E14F7" w:rsidP="00AB1961">
            <w:pPr>
              <w:jc w:val="center"/>
            </w:pPr>
            <w:r w:rsidRPr="0063792C">
              <w:rPr>
                <w:b/>
                <w:bCs/>
              </w:rPr>
              <w:t xml:space="preserve">Percentage ownership of the </w:t>
            </w:r>
            <w:r>
              <w:rPr>
                <w:b/>
                <w:bCs/>
              </w:rPr>
              <w:t>Issuer</w:t>
            </w:r>
            <w:r w:rsidRPr="0063792C">
              <w:rPr>
                <w:b/>
                <w:bCs/>
              </w:rPr>
              <w:t xml:space="preserve"> by the holders of such security (assuming conversion prior to the Offering if convertible securities).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B3FF0C" w14:textId="514CC054" w:rsidR="007E14F7" w:rsidRPr="0063792C" w:rsidRDefault="00545AE6" w:rsidP="00AB1961">
            <w:pPr>
              <w:jc w:val="center"/>
            </w:pPr>
            <w:r w:rsidRPr="00545AE6">
              <w:t>3.59</w:t>
            </w:r>
            <w:r w:rsidR="007E14F7" w:rsidRPr="00545AE6">
              <w:t>%</w:t>
            </w:r>
            <w:r w:rsidR="007E14F7">
              <w:t xml:space="preserve"> </w:t>
            </w:r>
          </w:p>
        </w:tc>
      </w:tr>
    </w:tbl>
    <w:p w14:paraId="1F7A40B2" w14:textId="77777777" w:rsidR="00F04315" w:rsidRDefault="00F04315" w:rsidP="00D447FE"/>
    <w:p w14:paraId="7662D318" w14:textId="77777777" w:rsidR="00B003CB" w:rsidRDefault="00B003CB" w:rsidP="00D447FE"/>
    <w:tbl>
      <w:tblPr>
        <w:tblW w:w="9360" w:type="dxa"/>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7E14F7" w:rsidRPr="0063792C" w14:paraId="34615004" w14:textId="77777777" w:rsidTr="00AB1961">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DB13A51" w14:textId="77777777" w:rsidR="007E14F7" w:rsidRPr="0063792C" w:rsidRDefault="007E14F7" w:rsidP="00AB1961">
            <w:pPr>
              <w:keepNext/>
              <w:jc w:val="center"/>
            </w:pPr>
            <w:r w:rsidRPr="0063792C">
              <w:rPr>
                <w:b/>
                <w:bCs/>
              </w:rPr>
              <w:t>Type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16FFD4" w14:textId="77777777" w:rsidR="007E14F7" w:rsidRPr="0063792C" w:rsidRDefault="007E14F7" w:rsidP="00AB1961">
            <w:pPr>
              <w:jc w:val="center"/>
            </w:pPr>
            <w:r>
              <w:t>SAFE (Simple Agreements for Future Equity)</w:t>
            </w:r>
          </w:p>
        </w:tc>
      </w:tr>
      <w:tr w:rsidR="007E14F7" w:rsidRPr="0063792C" w14:paraId="525ED333" w14:textId="77777777" w:rsidTr="00AB1961">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44787CA" w14:textId="77777777" w:rsidR="007E14F7" w:rsidRPr="0063792C" w:rsidRDefault="007E14F7" w:rsidP="00AB1961">
            <w:pPr>
              <w:keepNext/>
              <w:jc w:val="center"/>
            </w:pPr>
            <w:r>
              <w:rPr>
                <w:b/>
                <w:bCs/>
              </w:rPr>
              <w:t>Principal Amount Outstanding</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311E29" w14:textId="34C92236" w:rsidR="007E14F7" w:rsidRPr="0063792C" w:rsidRDefault="007E14F7" w:rsidP="00AB1961">
            <w:pPr>
              <w:jc w:val="center"/>
            </w:pPr>
            <w:r>
              <w:t>$</w:t>
            </w:r>
            <w:r w:rsidRPr="00172C70">
              <w:t>387,025</w:t>
            </w:r>
          </w:p>
        </w:tc>
      </w:tr>
      <w:tr w:rsidR="007E14F7" w:rsidRPr="0063792C" w14:paraId="67ED43D3" w14:textId="77777777" w:rsidTr="00AB1961">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AD9303C" w14:textId="77777777" w:rsidR="007E14F7" w:rsidRPr="0063792C" w:rsidRDefault="007E14F7" w:rsidP="00AB1961">
            <w:pPr>
              <w:keepNext/>
              <w:jc w:val="center"/>
            </w:pPr>
            <w:r w:rsidRPr="0063792C">
              <w:rPr>
                <w:b/>
                <w:bCs/>
              </w:rPr>
              <w:t>Voting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1C2612" w14:textId="77777777" w:rsidR="007E14F7" w:rsidRPr="0063792C" w:rsidRDefault="007E14F7" w:rsidP="00AB1961">
            <w:pPr>
              <w:jc w:val="center"/>
            </w:pPr>
            <w:r>
              <w:t>The holders of SAFEs are not entitled to vote.</w:t>
            </w:r>
          </w:p>
        </w:tc>
      </w:tr>
      <w:tr w:rsidR="007E14F7" w:rsidRPr="0063792C" w14:paraId="75A47A76" w14:textId="77777777" w:rsidTr="00AB1961">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44FD3D7" w14:textId="77777777" w:rsidR="007E14F7" w:rsidRPr="0063792C" w:rsidRDefault="007E14F7" w:rsidP="00AB1961">
            <w:pPr>
              <w:keepNext/>
              <w:jc w:val="center"/>
            </w:pPr>
            <w:r w:rsidRPr="0063792C">
              <w:rPr>
                <w:b/>
                <w:bCs/>
              </w:rPr>
              <w:t>Anti-Dilution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7E9EF2" w14:textId="77777777" w:rsidR="007E14F7" w:rsidRPr="0063792C" w:rsidRDefault="007E14F7" w:rsidP="00AB1961">
            <w:pPr>
              <w:jc w:val="center"/>
            </w:pPr>
            <w:r>
              <w:t>None</w:t>
            </w:r>
          </w:p>
        </w:tc>
      </w:tr>
      <w:tr w:rsidR="007E14F7" w:rsidRPr="0063792C" w14:paraId="34747CF8" w14:textId="77777777" w:rsidTr="00AB1961">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1FAE4D2" w14:textId="77777777" w:rsidR="007E14F7" w:rsidRPr="0063792C" w:rsidRDefault="007E14F7" w:rsidP="00AB1961">
            <w:pPr>
              <w:keepNext/>
              <w:jc w:val="center"/>
              <w:rPr>
                <w:b/>
                <w:bCs/>
              </w:rPr>
            </w:pPr>
            <w:r w:rsidRPr="0063792C">
              <w:rPr>
                <w:b/>
                <w:bCs/>
              </w:rPr>
              <w:t xml:space="preserve">Material Terms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29321E" w14:textId="77777777" w:rsidR="007E14F7" w:rsidRPr="0063792C" w:rsidRDefault="007E14F7" w:rsidP="00AB1961">
            <w:pPr>
              <w:jc w:val="center"/>
            </w:pPr>
            <w:r>
              <w:t>V</w:t>
            </w:r>
            <w:r w:rsidRPr="00665A2F">
              <w:t xml:space="preserve">aluation cap </w:t>
            </w:r>
            <w:r>
              <w:t xml:space="preserve">of </w:t>
            </w:r>
            <w:r w:rsidRPr="00665A2F">
              <w:t>$</w:t>
            </w:r>
            <w:r>
              <w:t>7,500,000</w:t>
            </w:r>
          </w:p>
        </w:tc>
      </w:tr>
      <w:tr w:rsidR="007E14F7" w:rsidRPr="0063792C" w14:paraId="026A51AF" w14:textId="77777777" w:rsidTr="00AB1961">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3EB084A" w14:textId="77777777" w:rsidR="007E14F7" w:rsidRPr="0063792C" w:rsidRDefault="007E14F7" w:rsidP="00AB1961">
            <w:pPr>
              <w:keepNext/>
              <w:jc w:val="center"/>
            </w:pPr>
            <w:r w:rsidRPr="0063792C">
              <w:rPr>
                <w:b/>
                <w:bCs/>
              </w:rPr>
              <w:t>How this security may limit, dilute or qualify the Security issued pursuant to Regulation CF</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A9E2B1" w14:textId="77777777" w:rsidR="007E14F7" w:rsidRPr="0063792C" w:rsidRDefault="007E14F7" w:rsidP="00AB1961">
            <w:pPr>
              <w:jc w:val="center"/>
            </w:pPr>
            <w:r>
              <w:t xml:space="preserve">The </w:t>
            </w:r>
            <w:r>
              <w:rPr>
                <w:bCs/>
              </w:rPr>
              <w:t>Issuer</w:t>
            </w:r>
            <w:r>
              <w:t xml:space="preserve"> may issue additional SAFEs at a later date. The issuance of such additional SAFEs would be dilutive, and could adversely affect the value of the Securities issued pursuant to Regulation CF.</w:t>
            </w:r>
          </w:p>
        </w:tc>
      </w:tr>
      <w:tr w:rsidR="007E14F7" w:rsidRPr="0063792C" w14:paraId="7860A7CF" w14:textId="77777777" w:rsidTr="00AB1961">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3CC4E96" w14:textId="77777777" w:rsidR="007E14F7" w:rsidRPr="0063792C" w:rsidRDefault="007E14F7" w:rsidP="00AB1961">
            <w:pPr>
              <w:jc w:val="center"/>
            </w:pPr>
            <w:r w:rsidRPr="0063792C">
              <w:rPr>
                <w:b/>
                <w:bCs/>
              </w:rPr>
              <w:t xml:space="preserve">Percentage ownership of the </w:t>
            </w:r>
            <w:r>
              <w:rPr>
                <w:b/>
                <w:bCs/>
              </w:rPr>
              <w:t>Issuer</w:t>
            </w:r>
            <w:r w:rsidRPr="0063792C">
              <w:rPr>
                <w:b/>
                <w:bCs/>
              </w:rPr>
              <w:t xml:space="preserve"> by the holders of such security (assuming conversion prior to the Offering if convertible securities).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EFAA30" w14:textId="543769FD" w:rsidR="007E14F7" w:rsidRPr="0063792C" w:rsidRDefault="00545AE6" w:rsidP="00AB1961">
            <w:pPr>
              <w:jc w:val="center"/>
            </w:pPr>
            <w:r w:rsidRPr="00545AE6">
              <w:t>4.12</w:t>
            </w:r>
            <w:r w:rsidR="007E14F7" w:rsidRPr="00545AE6">
              <w:t>%</w:t>
            </w:r>
            <w:r w:rsidR="007E14F7">
              <w:t xml:space="preserve"> </w:t>
            </w:r>
          </w:p>
        </w:tc>
      </w:tr>
    </w:tbl>
    <w:p w14:paraId="5F3F3AAE" w14:textId="77777777" w:rsidR="007E14F7" w:rsidRDefault="007E14F7" w:rsidP="00D447FE"/>
    <w:p w14:paraId="7CFF7A12" w14:textId="77777777" w:rsidR="007E14F7" w:rsidRDefault="007E14F7" w:rsidP="00D447FE"/>
    <w:tbl>
      <w:tblPr>
        <w:tblW w:w="9360" w:type="dxa"/>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D447FE" w:rsidRPr="00EB57C4" w14:paraId="7B6AEBB6" w14:textId="77777777" w:rsidTr="00525E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AF00619" w14:textId="77777777" w:rsidR="00D447FE" w:rsidRPr="00E8181A" w:rsidRDefault="00D447FE" w:rsidP="00525EE2">
            <w:pPr>
              <w:keepNext/>
              <w:jc w:val="center"/>
              <w:rPr>
                <w:b/>
                <w:bCs/>
              </w:rPr>
            </w:pPr>
            <w:r w:rsidRPr="00EB57C4">
              <w:rPr>
                <w:b/>
                <w:bCs/>
              </w:rPr>
              <w:t xml:space="preserve">Type of security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26C546" w14:textId="77777777" w:rsidR="00D447FE" w:rsidRPr="00EB57C4" w:rsidRDefault="00D447FE" w:rsidP="00525EE2">
            <w:pPr>
              <w:jc w:val="center"/>
            </w:pPr>
            <w:r w:rsidRPr="00EB57C4">
              <w:t>Convertible Note</w:t>
            </w:r>
            <w:r>
              <w:t>s</w:t>
            </w:r>
          </w:p>
        </w:tc>
      </w:tr>
      <w:tr w:rsidR="00D447FE" w:rsidRPr="00EB57C4" w14:paraId="094F1647" w14:textId="77777777" w:rsidTr="00525E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FE1AACA" w14:textId="196E3D74" w:rsidR="00D447FE" w:rsidRPr="00EB57C4" w:rsidRDefault="00C94D2F" w:rsidP="00525EE2">
            <w:pPr>
              <w:keepNext/>
              <w:jc w:val="center"/>
              <w:rPr>
                <w:b/>
                <w:bCs/>
              </w:rPr>
            </w:pPr>
            <w:r>
              <w:rPr>
                <w:b/>
                <w:bCs/>
              </w:rPr>
              <w:t xml:space="preserve">Principal </w:t>
            </w:r>
            <w:r w:rsidR="00D447FE" w:rsidRPr="00EB57C4">
              <w:rPr>
                <w:b/>
                <w:bCs/>
              </w:rPr>
              <w:t xml:space="preserve">Amount </w:t>
            </w:r>
            <w:r w:rsidR="00D447FE">
              <w:rPr>
                <w:b/>
                <w:bCs/>
              </w:rPr>
              <w:t>O</w:t>
            </w:r>
            <w:r w:rsidR="00D447FE" w:rsidRPr="00EB57C4">
              <w:rPr>
                <w:b/>
                <w:bCs/>
              </w:rPr>
              <w:t xml:space="preserve">utstanding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61E306" w14:textId="0284E862" w:rsidR="00D447FE" w:rsidRPr="00EB57C4" w:rsidRDefault="00D447FE" w:rsidP="00525EE2">
            <w:pPr>
              <w:jc w:val="center"/>
            </w:pPr>
            <w:r w:rsidRPr="00EB57C4">
              <w:t>$</w:t>
            </w:r>
            <w:r w:rsidR="007E14F7">
              <w:t>100,000</w:t>
            </w:r>
          </w:p>
        </w:tc>
      </w:tr>
      <w:tr w:rsidR="00D447FE" w:rsidRPr="00EB57C4" w14:paraId="5B8F4E16" w14:textId="77777777" w:rsidTr="00525E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A166501" w14:textId="77777777" w:rsidR="00D447FE" w:rsidRPr="00EB57C4" w:rsidRDefault="00D447FE" w:rsidP="00525EE2">
            <w:pPr>
              <w:keepNext/>
              <w:jc w:val="center"/>
              <w:rPr>
                <w:b/>
                <w:bCs/>
              </w:rPr>
            </w:pPr>
            <w:r w:rsidRPr="00EB57C4">
              <w:rPr>
                <w:b/>
                <w:bCs/>
              </w:rPr>
              <w:t xml:space="preserve">Voting Rights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2DAE95" w14:textId="77777777" w:rsidR="00D447FE" w:rsidRPr="00EB57C4" w:rsidRDefault="00D447FE" w:rsidP="00525EE2">
            <w:pPr>
              <w:jc w:val="center"/>
            </w:pPr>
            <w:r w:rsidRPr="00EB57C4">
              <w:t>No</w:t>
            </w:r>
            <w:r>
              <w:t>ne</w:t>
            </w:r>
          </w:p>
        </w:tc>
      </w:tr>
      <w:tr w:rsidR="00D447FE" w:rsidRPr="00EB57C4" w14:paraId="6870743C" w14:textId="77777777" w:rsidTr="00525E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3B39888" w14:textId="77777777" w:rsidR="00D447FE" w:rsidRPr="00EB57C4" w:rsidRDefault="00D447FE" w:rsidP="00525EE2">
            <w:pPr>
              <w:keepNext/>
              <w:jc w:val="center"/>
              <w:rPr>
                <w:b/>
                <w:bCs/>
              </w:rPr>
            </w:pPr>
            <w:r w:rsidRPr="00EB57C4">
              <w:rPr>
                <w:b/>
                <w:bCs/>
              </w:rPr>
              <w:t>Anti-Dilution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EF5A85" w14:textId="0A55CDA9" w:rsidR="00D447FE" w:rsidRPr="00EB57C4" w:rsidRDefault="00D447FE" w:rsidP="00525EE2">
            <w:pPr>
              <w:jc w:val="center"/>
            </w:pPr>
            <w:r w:rsidRPr="00EB57C4">
              <w:t>No</w:t>
            </w:r>
            <w:r>
              <w:t>ne</w:t>
            </w:r>
          </w:p>
        </w:tc>
      </w:tr>
      <w:tr w:rsidR="00D447FE" w:rsidRPr="00EB57C4" w14:paraId="4A3A1E5D" w14:textId="77777777" w:rsidTr="00525E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D280C6C" w14:textId="77777777" w:rsidR="00D447FE" w:rsidRPr="00EB57C4" w:rsidRDefault="00D447FE" w:rsidP="00525EE2">
            <w:pPr>
              <w:keepNext/>
              <w:jc w:val="center"/>
              <w:rPr>
                <w:b/>
                <w:bCs/>
              </w:rPr>
            </w:pPr>
            <w:r>
              <w:rPr>
                <w:b/>
                <w:bCs/>
              </w:rPr>
              <w:t>Material Terms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04CAD6" w14:textId="77777777" w:rsidR="007E14F7" w:rsidRDefault="00D447FE" w:rsidP="007E14F7">
            <w:pPr>
              <w:ind w:left="1320"/>
              <w:jc w:val="left"/>
            </w:pPr>
            <w:r>
              <w:t>Valuation Cap</w:t>
            </w:r>
            <w:r w:rsidR="007E14F7">
              <w:t xml:space="preserve"> of $5,000,000</w:t>
            </w:r>
            <w:r>
              <w:t xml:space="preserve">; </w:t>
            </w:r>
          </w:p>
          <w:p w14:paraId="023A37DA" w14:textId="77777777" w:rsidR="007E14F7" w:rsidRDefault="00D447FE" w:rsidP="007E14F7">
            <w:pPr>
              <w:ind w:left="1320"/>
              <w:jc w:val="left"/>
            </w:pPr>
            <w:r>
              <w:t>Discount</w:t>
            </w:r>
            <w:r w:rsidR="007E14F7">
              <w:t xml:space="preserve"> of 20%;</w:t>
            </w:r>
          </w:p>
          <w:p w14:paraId="447150EB" w14:textId="1B764571" w:rsidR="00D447FE" w:rsidRDefault="007E14F7" w:rsidP="007E14F7">
            <w:pPr>
              <w:ind w:left="1320"/>
              <w:jc w:val="left"/>
            </w:pPr>
            <w:r w:rsidRPr="0023226A">
              <w:t>Maturity Date of June 13, 202</w:t>
            </w:r>
            <w:r w:rsidR="0023226A" w:rsidRPr="0023226A">
              <w:t>5</w:t>
            </w:r>
            <w:r w:rsidR="00D447FE">
              <w:t xml:space="preserve"> </w:t>
            </w:r>
          </w:p>
        </w:tc>
      </w:tr>
      <w:tr w:rsidR="00D447FE" w:rsidRPr="00EB57C4" w14:paraId="1D7029F4" w14:textId="77777777" w:rsidTr="00525E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2ABAB34" w14:textId="77777777" w:rsidR="00D447FE" w:rsidRPr="00EB57C4" w:rsidRDefault="00D447FE" w:rsidP="00525EE2">
            <w:pPr>
              <w:keepNext/>
              <w:jc w:val="center"/>
              <w:rPr>
                <w:b/>
                <w:bCs/>
              </w:rPr>
            </w:pPr>
            <w:r>
              <w:rPr>
                <w:b/>
                <w:bCs/>
              </w:rPr>
              <w:t>Interest Rate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D3C66C" w14:textId="0A921C44" w:rsidR="00D447FE" w:rsidRDefault="007E14F7" w:rsidP="00525EE2">
            <w:pPr>
              <w:jc w:val="center"/>
            </w:pPr>
            <w:r>
              <w:t>5</w:t>
            </w:r>
            <w:r w:rsidR="00D447FE">
              <w:t>%</w:t>
            </w:r>
          </w:p>
        </w:tc>
      </w:tr>
      <w:tr w:rsidR="00D447FE" w:rsidRPr="00EB57C4" w14:paraId="07027496" w14:textId="77777777" w:rsidTr="00525E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3062DE9" w14:textId="77777777" w:rsidR="00D447FE" w:rsidRPr="00EB57C4" w:rsidRDefault="00D447FE" w:rsidP="00525EE2">
            <w:pPr>
              <w:keepNext/>
              <w:jc w:val="center"/>
              <w:rPr>
                <w:b/>
                <w:bCs/>
              </w:rPr>
            </w:pPr>
            <w:r w:rsidRPr="00EB57C4">
              <w:rPr>
                <w:b/>
                <w:bCs/>
              </w:rPr>
              <w:t xml:space="preserve">How this security may limit, dilute or qualify the Security issued pursuant to Regulation CF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1C2D4B" w14:textId="3067AAC6" w:rsidR="00D447FE" w:rsidRPr="00EB57C4" w:rsidRDefault="00D447FE" w:rsidP="00525EE2">
            <w:pPr>
              <w:jc w:val="center"/>
            </w:pPr>
            <w:r>
              <w:t xml:space="preserve">The </w:t>
            </w:r>
            <w:r w:rsidR="00856D91">
              <w:rPr>
                <w:bCs/>
              </w:rPr>
              <w:t>Issuer</w:t>
            </w:r>
            <w:r>
              <w:t xml:space="preserve"> may issue additional Convertible Notes at a later date. The issuance of such additional Convertible Notes would be dilutive, and could adversely affect the value of the Securities issued pursuant to Regulation CF.</w:t>
            </w:r>
          </w:p>
        </w:tc>
      </w:tr>
      <w:tr w:rsidR="00D447FE" w:rsidRPr="00EB57C4" w14:paraId="10CF6833" w14:textId="77777777" w:rsidTr="00525E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43F45E9" w14:textId="44C84457" w:rsidR="00D447FE" w:rsidRPr="00EB57C4" w:rsidRDefault="00D447FE" w:rsidP="00525EE2">
            <w:pPr>
              <w:keepNext/>
              <w:jc w:val="center"/>
              <w:rPr>
                <w:b/>
                <w:bCs/>
              </w:rPr>
            </w:pPr>
            <w:r w:rsidRPr="00EB57C4">
              <w:rPr>
                <w:b/>
                <w:bCs/>
              </w:rPr>
              <w:t xml:space="preserve">Ownership of the </w:t>
            </w:r>
            <w:r w:rsidR="00856D91">
              <w:rPr>
                <w:b/>
                <w:bCs/>
              </w:rPr>
              <w:t>Issuer</w:t>
            </w:r>
            <w:r w:rsidRPr="00EB57C4">
              <w:rPr>
                <w:b/>
                <w:bCs/>
              </w:rPr>
              <w:t xml:space="preserve"> by the holders of such security (assuming conversion prior to the Offering if convertible securities).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699D97" w14:textId="0F9867DA" w:rsidR="00D447FE" w:rsidRPr="00EB57C4" w:rsidRDefault="00545AE6" w:rsidP="00525EE2">
            <w:pPr>
              <w:jc w:val="center"/>
            </w:pPr>
            <w:r w:rsidRPr="00545AE6">
              <w:t>1.60</w:t>
            </w:r>
            <w:r w:rsidR="00D447FE" w:rsidRPr="00545AE6">
              <w:t>%</w:t>
            </w:r>
          </w:p>
        </w:tc>
      </w:tr>
    </w:tbl>
    <w:p w14:paraId="7FDD24CC" w14:textId="77777777" w:rsidR="00D447FE" w:rsidRDefault="00D447FE" w:rsidP="00D447FE"/>
    <w:p w14:paraId="4D4F28E9" w14:textId="77777777" w:rsidR="00C776FF" w:rsidRDefault="00C776FF">
      <w:pPr>
        <w:jc w:val="left"/>
      </w:pPr>
      <w:r>
        <w:rPr>
          <w:b/>
        </w:rPr>
        <w:br w:type="page"/>
      </w:r>
    </w:p>
    <w:p w14:paraId="61766F75" w14:textId="1466F845" w:rsidR="00DC0ACF" w:rsidRPr="00CC3A4E" w:rsidRDefault="00DC0ACF" w:rsidP="00DC0ACF">
      <w:pPr>
        <w:pStyle w:val="Heading2"/>
        <w:rPr>
          <w:b w:val="0"/>
        </w:rPr>
      </w:pPr>
      <w:r w:rsidRPr="00CC3A4E">
        <w:lastRenderedPageBreak/>
        <w:t>Outstanding Debt</w:t>
      </w:r>
      <w:bookmarkEnd w:id="48"/>
    </w:p>
    <w:p w14:paraId="179EC7A1" w14:textId="77777777" w:rsidR="00DC0ACF" w:rsidRPr="0063792C" w:rsidRDefault="00DC0ACF" w:rsidP="00DC0ACF"/>
    <w:p w14:paraId="6ED8EE56" w14:textId="3778DCFD" w:rsidR="00D447FE" w:rsidRDefault="00D447FE" w:rsidP="00D447FE">
      <w:bookmarkStart w:id="49" w:name="_Toc103593662"/>
      <w:r w:rsidRPr="0063792C">
        <w:t xml:space="preserve">As of the date of this Form C, the </w:t>
      </w:r>
      <w:r w:rsidR="00856D91">
        <w:rPr>
          <w:bCs/>
        </w:rPr>
        <w:t>Issuer</w:t>
      </w:r>
      <w:r w:rsidRPr="0063792C">
        <w:t xml:space="preserve"> has </w:t>
      </w:r>
      <w:r w:rsidR="007E14F7">
        <w:t>no outstanding d</w:t>
      </w:r>
      <w:r w:rsidRPr="0063792C">
        <w:t>ebt</w:t>
      </w:r>
      <w:r w:rsidR="007E14F7">
        <w:t xml:space="preserve">. </w:t>
      </w:r>
      <w:r w:rsidRPr="0063792C">
        <w:t xml:space="preserve"> </w:t>
      </w:r>
    </w:p>
    <w:p w14:paraId="659A4433" w14:textId="77777777" w:rsidR="00D447FE" w:rsidRDefault="00D447FE" w:rsidP="00DC0ACF">
      <w:pPr>
        <w:pStyle w:val="Heading2"/>
      </w:pPr>
    </w:p>
    <w:p w14:paraId="1F0D0103" w14:textId="77777777" w:rsidR="00C776FF" w:rsidRDefault="00C776FF" w:rsidP="00DC0ACF">
      <w:pPr>
        <w:pStyle w:val="Heading2"/>
      </w:pPr>
    </w:p>
    <w:p w14:paraId="7263DB20" w14:textId="1F51C55B" w:rsidR="00DC0ACF" w:rsidRPr="0063792C" w:rsidRDefault="00DC0ACF" w:rsidP="00DC0ACF">
      <w:pPr>
        <w:pStyle w:val="Heading2"/>
      </w:pPr>
      <w:r w:rsidRPr="0063792C">
        <w:t>Ownership</w:t>
      </w:r>
      <w:bookmarkEnd w:id="49"/>
      <w:r w:rsidRPr="0063792C">
        <w:t xml:space="preserve"> </w:t>
      </w:r>
    </w:p>
    <w:p w14:paraId="7BDA4E03" w14:textId="77777777" w:rsidR="00DC0ACF" w:rsidRPr="0063792C" w:rsidRDefault="00DC0ACF" w:rsidP="00DC0ACF"/>
    <w:p w14:paraId="00EFBECE" w14:textId="0FFFA85F" w:rsidR="00DC0ACF" w:rsidRPr="0063792C" w:rsidRDefault="00DC0ACF" w:rsidP="00DC0ACF">
      <w:r w:rsidRPr="0063792C">
        <w:t>The table below lists the beneficial owners</w:t>
      </w:r>
      <w:r w:rsidR="00856D91">
        <w:t xml:space="preserve"> (including individuals and entities)</w:t>
      </w:r>
      <w:r w:rsidRPr="0063792C">
        <w:t xml:space="preserve"> of</w:t>
      </w:r>
      <w:r>
        <w:t xml:space="preserve"> twenty percent</w:t>
      </w:r>
      <w:r w:rsidRPr="0063792C">
        <w:t xml:space="preserve"> </w:t>
      </w:r>
      <w:r>
        <w:t>(</w:t>
      </w:r>
      <w:r w:rsidRPr="0063792C">
        <w:t>20%</w:t>
      </w:r>
      <w:r>
        <w:t>)</w:t>
      </w:r>
      <w:r w:rsidRPr="0063792C">
        <w:t xml:space="preserve"> or more of the </w:t>
      </w:r>
      <w:r w:rsidR="00856D91">
        <w:rPr>
          <w:bCs/>
        </w:rPr>
        <w:t>Issuer</w:t>
      </w:r>
      <w:r w:rsidRPr="0063792C">
        <w:t>’s outstanding voting equity securities, calculated on the basis of voting power, along with the amount they own.</w:t>
      </w:r>
    </w:p>
    <w:p w14:paraId="2C3CF657" w14:textId="77777777" w:rsidR="00D447FE" w:rsidRDefault="00D447FE" w:rsidP="00D447FE"/>
    <w:tbl>
      <w:tblPr>
        <w:tblStyle w:val="13"/>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3240"/>
        <w:gridCol w:w="3150"/>
      </w:tblGrid>
      <w:tr w:rsidR="00D447FE" w:rsidRPr="00D71933" w14:paraId="4FCC8B82" w14:textId="77777777" w:rsidTr="00525EE2">
        <w:tc>
          <w:tcPr>
            <w:tcW w:w="3168" w:type="dxa"/>
            <w:shd w:val="clear" w:color="auto" w:fill="auto"/>
          </w:tcPr>
          <w:p w14:paraId="39C338D4" w14:textId="77777777" w:rsidR="00D447FE" w:rsidRPr="00D71933" w:rsidRDefault="00D447FE" w:rsidP="00525EE2">
            <w:pPr>
              <w:rPr>
                <w:b/>
                <w:bCs/>
              </w:rPr>
            </w:pPr>
            <w:bookmarkStart w:id="50" w:name="_Hlk73092872"/>
            <w:r>
              <w:rPr>
                <w:b/>
                <w:bCs/>
              </w:rPr>
              <w:t>Name</w:t>
            </w:r>
          </w:p>
        </w:tc>
        <w:tc>
          <w:tcPr>
            <w:tcW w:w="3240" w:type="dxa"/>
            <w:shd w:val="clear" w:color="auto" w:fill="auto"/>
          </w:tcPr>
          <w:p w14:paraId="1167F2F6" w14:textId="77777777" w:rsidR="00D447FE" w:rsidRPr="00D71933" w:rsidRDefault="00D447FE" w:rsidP="00525EE2">
            <w:pPr>
              <w:jc w:val="center"/>
              <w:rPr>
                <w:b/>
                <w:bCs/>
              </w:rPr>
            </w:pPr>
            <w:r w:rsidRPr="00D71933">
              <w:rPr>
                <w:b/>
              </w:rPr>
              <w:t>Amount and Type or Class Held</w:t>
            </w:r>
          </w:p>
        </w:tc>
        <w:tc>
          <w:tcPr>
            <w:tcW w:w="3150" w:type="dxa"/>
            <w:shd w:val="clear" w:color="auto" w:fill="auto"/>
          </w:tcPr>
          <w:p w14:paraId="5BE087F4" w14:textId="77777777" w:rsidR="00D447FE" w:rsidRPr="00D71933" w:rsidRDefault="00D447FE" w:rsidP="00525EE2">
            <w:pPr>
              <w:jc w:val="center"/>
              <w:rPr>
                <w:b/>
                <w:bCs/>
              </w:rPr>
            </w:pPr>
            <w:r w:rsidRPr="00D71933">
              <w:rPr>
                <w:b/>
              </w:rPr>
              <w:t>Percentage Ownership (in terms of voting power)</w:t>
            </w:r>
          </w:p>
        </w:tc>
      </w:tr>
      <w:tr w:rsidR="00D447FE" w:rsidRPr="00D71933" w14:paraId="0C3C4C44" w14:textId="77777777" w:rsidTr="00525EE2">
        <w:tc>
          <w:tcPr>
            <w:tcW w:w="3168" w:type="dxa"/>
            <w:shd w:val="clear" w:color="auto" w:fill="auto"/>
          </w:tcPr>
          <w:p w14:paraId="7510DB55" w14:textId="263D60C4" w:rsidR="00D447FE" w:rsidRPr="00C146F0" w:rsidRDefault="00F04315" w:rsidP="00525EE2">
            <w:pPr>
              <w:rPr>
                <w:bCs/>
              </w:rPr>
            </w:pPr>
            <w:r>
              <w:rPr>
                <w:bCs/>
              </w:rPr>
              <w:t>Sanjay Nediyara</w:t>
            </w:r>
          </w:p>
        </w:tc>
        <w:tc>
          <w:tcPr>
            <w:tcW w:w="3240" w:type="dxa"/>
            <w:shd w:val="clear" w:color="auto" w:fill="auto"/>
          </w:tcPr>
          <w:p w14:paraId="22BB354E" w14:textId="0580A02A" w:rsidR="00D447FE" w:rsidRPr="004F4A44" w:rsidRDefault="00F04315" w:rsidP="00525EE2">
            <w:pPr>
              <w:shd w:val="clear" w:color="auto" w:fill="FFFFFF"/>
              <w:spacing w:after="240"/>
              <w:textAlignment w:val="top"/>
              <w:rPr>
                <w:b/>
              </w:rPr>
            </w:pPr>
            <w:r>
              <w:rPr>
                <w:color w:val="222222"/>
              </w:rPr>
              <w:t>8,386,250</w:t>
            </w:r>
            <w:r w:rsidR="00D447FE">
              <w:rPr>
                <w:color w:val="222222"/>
              </w:rPr>
              <w:t xml:space="preserve"> shares of Common Stock</w:t>
            </w:r>
          </w:p>
        </w:tc>
        <w:tc>
          <w:tcPr>
            <w:tcW w:w="3150" w:type="dxa"/>
            <w:shd w:val="clear" w:color="auto" w:fill="auto"/>
          </w:tcPr>
          <w:p w14:paraId="02F8BAB2" w14:textId="268CC6DD" w:rsidR="00D447FE" w:rsidRPr="00C146F0" w:rsidRDefault="00545AE6" w:rsidP="00525EE2">
            <w:pPr>
              <w:jc w:val="center"/>
              <w:rPr>
                <w:bCs/>
              </w:rPr>
            </w:pPr>
            <w:r>
              <w:rPr>
                <w:bCs/>
              </w:rPr>
              <w:t>63.67</w:t>
            </w:r>
            <w:r w:rsidR="00D447FE" w:rsidRPr="00C146F0">
              <w:rPr>
                <w:bCs/>
              </w:rPr>
              <w:t>%</w:t>
            </w:r>
          </w:p>
          <w:p w14:paraId="1B1EEB79" w14:textId="77777777" w:rsidR="00D447FE" w:rsidRPr="00C146F0" w:rsidRDefault="00D447FE" w:rsidP="00525EE2">
            <w:pPr>
              <w:rPr>
                <w:bCs/>
              </w:rPr>
            </w:pPr>
          </w:p>
        </w:tc>
      </w:tr>
      <w:bookmarkEnd w:id="50"/>
    </w:tbl>
    <w:p w14:paraId="1E1D4D78" w14:textId="77777777" w:rsidR="00D447FE" w:rsidRPr="0063792C" w:rsidRDefault="00D447FE" w:rsidP="00D447FE"/>
    <w:p w14:paraId="6531AF7C" w14:textId="77777777" w:rsidR="00D447FE" w:rsidRPr="0063792C" w:rsidRDefault="00D447FE" w:rsidP="00D447FE"/>
    <w:p w14:paraId="3E261F68" w14:textId="77777777" w:rsidR="00D447FE" w:rsidRPr="0063792C" w:rsidRDefault="00D447FE" w:rsidP="00D447FE"/>
    <w:p w14:paraId="0B43ACF7" w14:textId="77777777" w:rsidR="00DC0ACF" w:rsidRPr="0063792C" w:rsidRDefault="00DC0ACF" w:rsidP="00DC0ACF"/>
    <w:p w14:paraId="6BB780AB" w14:textId="77777777" w:rsidR="00D447FE" w:rsidRDefault="00D447FE">
      <w:pPr>
        <w:jc w:val="left"/>
        <w:rPr>
          <w:b/>
        </w:rPr>
      </w:pPr>
      <w:bookmarkStart w:id="51" w:name="_Toc103593663"/>
      <w:r>
        <w:br w:type="page"/>
      </w:r>
    </w:p>
    <w:p w14:paraId="022F6A1E" w14:textId="264622F3" w:rsidR="00DC0ACF" w:rsidRPr="0063792C" w:rsidRDefault="00DC0ACF" w:rsidP="00DC0ACF">
      <w:pPr>
        <w:pStyle w:val="Heading1"/>
        <w:jc w:val="center"/>
      </w:pPr>
      <w:r w:rsidRPr="0063792C">
        <w:lastRenderedPageBreak/>
        <w:t>FINANCIAL INFORMATION</w:t>
      </w:r>
      <w:bookmarkEnd w:id="51"/>
    </w:p>
    <w:p w14:paraId="7006A396" w14:textId="77777777" w:rsidR="00DC0ACF" w:rsidRPr="0063792C" w:rsidRDefault="00DC0ACF" w:rsidP="00DC0ACF">
      <w:pPr>
        <w:rPr>
          <w:b/>
        </w:rPr>
      </w:pPr>
    </w:p>
    <w:p w14:paraId="49BEB585" w14:textId="77777777" w:rsidR="00DC0ACF" w:rsidRPr="0063792C" w:rsidRDefault="00DC0ACF" w:rsidP="00DC0ACF">
      <w:r w:rsidRPr="0063792C">
        <w:rPr>
          <w:b/>
        </w:rPr>
        <w:t xml:space="preserve">Please see the financial information listed on the cover page of this Form C and attached hereto in addition to the following information. Financial statements are attached hereto as </w:t>
      </w:r>
      <w:r w:rsidRPr="00485FB0">
        <w:rPr>
          <w:b/>
        </w:rPr>
        <w:t xml:space="preserve">Exhibit </w:t>
      </w:r>
      <w:r>
        <w:rPr>
          <w:b/>
        </w:rPr>
        <w:t>A</w:t>
      </w:r>
      <w:r w:rsidRPr="0063792C">
        <w:rPr>
          <w:b/>
        </w:rPr>
        <w:t>.</w:t>
      </w:r>
    </w:p>
    <w:p w14:paraId="0C43A0AD" w14:textId="77777777" w:rsidR="00DC0ACF" w:rsidRPr="0063792C" w:rsidRDefault="00DC0ACF" w:rsidP="00DC0ACF"/>
    <w:p w14:paraId="1977C9B1" w14:textId="77777777" w:rsidR="00DC0ACF" w:rsidRPr="0063792C" w:rsidRDefault="00DC0ACF" w:rsidP="00DC0ACF">
      <w:pPr>
        <w:pStyle w:val="Heading2"/>
      </w:pPr>
      <w:bookmarkStart w:id="52" w:name="_Toc103593664"/>
      <w:r w:rsidRPr="0063792C">
        <w:t>Cash and Cash Equivalents</w:t>
      </w:r>
      <w:bookmarkEnd w:id="52"/>
    </w:p>
    <w:p w14:paraId="6870FE91" w14:textId="77777777" w:rsidR="00DC0ACF" w:rsidRPr="0063792C" w:rsidRDefault="00DC0ACF" w:rsidP="00DC0ACF"/>
    <w:p w14:paraId="51E2E095" w14:textId="396B084B" w:rsidR="00DC0ACF" w:rsidRPr="0063792C" w:rsidRDefault="00DC0ACF" w:rsidP="00DC0ACF">
      <w:pPr>
        <w:rPr>
          <w:rFonts w:eastAsia="Calibri"/>
        </w:rPr>
      </w:pPr>
      <w:r w:rsidRPr="0063792C">
        <w:t xml:space="preserve">As of </w:t>
      </w:r>
      <w:r w:rsidR="00620B20">
        <w:t>July 31, 2024</w:t>
      </w:r>
      <w:r w:rsidR="00EF6F07">
        <w:t>,</w:t>
      </w:r>
      <w:r w:rsidRPr="0063792C">
        <w:t xml:space="preserve"> the </w:t>
      </w:r>
      <w:r w:rsidR="00856D91">
        <w:t>Issuer</w:t>
      </w:r>
      <w:r w:rsidRPr="0063792C">
        <w:t xml:space="preserve"> had an aggregate of $</w:t>
      </w:r>
      <w:r w:rsidR="00BF7474">
        <w:t>511,393</w:t>
      </w:r>
      <w:r w:rsidRPr="00953AD6">
        <w:t xml:space="preserve"> </w:t>
      </w:r>
      <w:r w:rsidRPr="00953AD6">
        <w:rPr>
          <w:rFonts w:eastAsia="Calibri"/>
        </w:rPr>
        <w:t>in cash and cash equivalents</w:t>
      </w:r>
      <w:r w:rsidR="00B003CB" w:rsidRPr="00953AD6">
        <w:rPr>
          <w:rFonts w:eastAsia="Calibri"/>
        </w:rPr>
        <w:t xml:space="preserve">. As the Issuer is profitable on a monthly basis, it has </w:t>
      </w:r>
      <w:r w:rsidR="00B003CB" w:rsidRPr="00C42DCC">
        <w:rPr>
          <w:rFonts w:eastAsia="Calibri"/>
        </w:rPr>
        <w:t>12</w:t>
      </w:r>
      <w:r w:rsidRPr="0063792C">
        <w:rPr>
          <w:rFonts w:eastAsia="Calibri"/>
        </w:rPr>
        <w:t xml:space="preserve"> months of runway.</w:t>
      </w:r>
      <w:r>
        <w:rPr>
          <w:rFonts w:eastAsia="Calibri"/>
        </w:rPr>
        <w:t xml:space="preserve"> Runway is calculated by dividing cash-on-hand by average monthly net loss (if any)</w:t>
      </w:r>
      <w:r w:rsidR="00047AB6">
        <w:rPr>
          <w:rFonts w:eastAsia="Calibri"/>
        </w:rPr>
        <w:t>.</w:t>
      </w:r>
    </w:p>
    <w:p w14:paraId="07CEA127" w14:textId="77777777" w:rsidR="00DC0ACF" w:rsidRPr="0063792C" w:rsidRDefault="00DC0ACF" w:rsidP="00DC0ACF"/>
    <w:p w14:paraId="1D0913A9" w14:textId="77777777" w:rsidR="00DC0ACF" w:rsidRPr="0063792C" w:rsidRDefault="00DC0ACF" w:rsidP="00DC0ACF">
      <w:pPr>
        <w:pStyle w:val="Heading2"/>
      </w:pPr>
      <w:bookmarkStart w:id="53" w:name="_Toc103593665"/>
      <w:r w:rsidRPr="0063792C">
        <w:t>Liquidity and Capital Resources</w:t>
      </w:r>
      <w:bookmarkEnd w:id="53"/>
      <w:r w:rsidRPr="0063792C">
        <w:t xml:space="preserve"> </w:t>
      </w:r>
    </w:p>
    <w:p w14:paraId="0044009B" w14:textId="77777777" w:rsidR="00DC0ACF" w:rsidRPr="0063792C" w:rsidRDefault="00DC0ACF" w:rsidP="00DC0ACF"/>
    <w:p w14:paraId="4BD7F55A" w14:textId="708AA78E" w:rsidR="00DC0ACF" w:rsidRPr="00D0194F" w:rsidRDefault="00DC0ACF" w:rsidP="00DC0ACF">
      <w:r w:rsidRPr="00D0194F">
        <w:t>The proceeds from the Offering are essential to our operations. We plan to use the proceeds as set forth above under the section titled “</w:t>
      </w:r>
      <w:r w:rsidRPr="00D0194F">
        <w:rPr>
          <w:i/>
          <w:iCs/>
        </w:rPr>
        <w:t>Use of Proceeds</w:t>
      </w:r>
      <w:r w:rsidRPr="00D0194F">
        <w:t xml:space="preserve">”, which is an indispensable element of our business strategy. </w:t>
      </w:r>
    </w:p>
    <w:p w14:paraId="3B18742D" w14:textId="6DF67F5F" w:rsidR="00DC0ACF" w:rsidRDefault="00DC0ACF" w:rsidP="00DC0ACF"/>
    <w:p w14:paraId="1F8235E4" w14:textId="77172FC7" w:rsidR="000E221E" w:rsidRDefault="000E221E" w:rsidP="000E221E">
      <w:r w:rsidRPr="00E96418">
        <w:t>In addition to the Offering, the Issuer may concurrently undertake to raise up to an additional $</w:t>
      </w:r>
      <w:r w:rsidR="00E96418" w:rsidRPr="00E96418">
        <w:t>1,000,000</w:t>
      </w:r>
      <w:r w:rsidRPr="00E96418">
        <w:t xml:space="preserve"> by offering to sell securities, including but not limited to common or preferred stock, SAFEs (Simple Agreement for Future Equity) or Convertible Notes, to accredited investors outside of this Offering</w:t>
      </w:r>
      <w:r w:rsidR="00E96418" w:rsidRPr="00E96418">
        <w:t>.</w:t>
      </w:r>
    </w:p>
    <w:p w14:paraId="2481553A" w14:textId="10AF5356" w:rsidR="000E221E" w:rsidRDefault="000E221E" w:rsidP="00DC0ACF"/>
    <w:p w14:paraId="311CC5BD" w14:textId="77777777" w:rsidR="000E221E" w:rsidRPr="0063792C" w:rsidRDefault="000E221E" w:rsidP="00DC0ACF"/>
    <w:p w14:paraId="342DB213" w14:textId="77777777" w:rsidR="00DC0ACF" w:rsidRPr="0063792C" w:rsidRDefault="00DC0ACF" w:rsidP="00DC0ACF">
      <w:pPr>
        <w:pStyle w:val="Heading2"/>
      </w:pPr>
      <w:bookmarkStart w:id="54" w:name="_Toc103593666"/>
      <w:r w:rsidRPr="0063792C">
        <w:t>Capital Expenditures and Other Obligations</w:t>
      </w:r>
      <w:bookmarkEnd w:id="54"/>
      <w:r w:rsidRPr="0063792C">
        <w:t xml:space="preserve"> </w:t>
      </w:r>
    </w:p>
    <w:p w14:paraId="58154091" w14:textId="77777777" w:rsidR="00DC0ACF" w:rsidRPr="0063792C" w:rsidRDefault="00DC0ACF" w:rsidP="00DC0ACF"/>
    <w:p w14:paraId="425AE752" w14:textId="2AA1ABBF" w:rsidR="00DC0ACF" w:rsidRPr="0063792C" w:rsidRDefault="00DC0ACF" w:rsidP="00DC0ACF">
      <w:pPr>
        <w:rPr>
          <w:b/>
        </w:rPr>
      </w:pPr>
      <w:r w:rsidRPr="001E4909">
        <w:t xml:space="preserve">The </w:t>
      </w:r>
      <w:r w:rsidR="00856D91">
        <w:t>Issuer</w:t>
      </w:r>
      <w:r w:rsidRPr="001E4909">
        <w:t xml:space="preserve"> does not intend to make any material capital expenditures in the near future.</w:t>
      </w:r>
    </w:p>
    <w:p w14:paraId="34691D2A" w14:textId="77777777" w:rsidR="00DC0ACF" w:rsidRPr="0063792C" w:rsidRDefault="00DC0ACF" w:rsidP="00DC0ACF"/>
    <w:p w14:paraId="3F90AF12" w14:textId="77777777" w:rsidR="00DC0ACF" w:rsidRPr="0063792C" w:rsidRDefault="00DC0ACF" w:rsidP="00DC0ACF">
      <w:pPr>
        <w:pStyle w:val="Heading2"/>
      </w:pPr>
      <w:bookmarkStart w:id="55" w:name="_Toc103593667"/>
      <w:r w:rsidRPr="0063792C">
        <w:t>Valuation</w:t>
      </w:r>
      <w:bookmarkEnd w:id="55"/>
    </w:p>
    <w:p w14:paraId="2C992513" w14:textId="77777777" w:rsidR="00DC0ACF" w:rsidRPr="0063792C" w:rsidRDefault="00DC0ACF" w:rsidP="00DC0ACF"/>
    <w:p w14:paraId="0A301416" w14:textId="2DDF0BB5" w:rsidR="00DC0ACF" w:rsidRPr="0063792C" w:rsidRDefault="00DC0ACF" w:rsidP="00DC0ACF">
      <w:r>
        <w:t>Although the Securities provide certain terms, which may include a valuation cap, t</w:t>
      </w:r>
      <w:r w:rsidRPr="0063792C">
        <w:t xml:space="preserve">he </w:t>
      </w:r>
      <w:r w:rsidR="00183995">
        <w:t>Intermediary</w:t>
      </w:r>
      <w:r w:rsidRPr="0063792C">
        <w:t xml:space="preserve"> has ascribed no pre-Offering valuation to the </w:t>
      </w:r>
      <w:r w:rsidR="00856D91">
        <w:t>Issuer</w:t>
      </w:r>
      <w:r w:rsidRPr="0063792C">
        <w:t xml:space="preserve">; the </w:t>
      </w:r>
      <w:r>
        <w:t>S</w:t>
      </w:r>
      <w:r w:rsidRPr="0063792C">
        <w:t>ecurities are priced arbitrarily</w:t>
      </w:r>
      <w:r>
        <w:t xml:space="preserve"> and the </w:t>
      </w:r>
      <w:r w:rsidR="00856D91">
        <w:t>Issuer</w:t>
      </w:r>
      <w:r>
        <w:t xml:space="preserve"> makes no representations as to the reasonableness of any specified valuation cap</w:t>
      </w:r>
      <w:r w:rsidRPr="0063792C">
        <w:t>.</w:t>
      </w:r>
    </w:p>
    <w:p w14:paraId="717F3CB9" w14:textId="77777777" w:rsidR="00DC0ACF" w:rsidRPr="0063792C" w:rsidRDefault="00DC0ACF" w:rsidP="00DC0ACF"/>
    <w:p w14:paraId="39496FE8" w14:textId="77777777" w:rsidR="00DC0ACF" w:rsidRPr="0063792C" w:rsidRDefault="00DC0ACF" w:rsidP="00DC0ACF">
      <w:pPr>
        <w:rPr>
          <w:b/>
          <w:bCs/>
          <w:i/>
          <w:iCs/>
        </w:rPr>
      </w:pPr>
      <w:r w:rsidRPr="0063792C">
        <w:rPr>
          <w:b/>
          <w:bCs/>
          <w:i/>
          <w:iCs/>
        </w:rPr>
        <w:t xml:space="preserve">Trends and Uncertainties </w:t>
      </w:r>
    </w:p>
    <w:p w14:paraId="5156E3EF" w14:textId="77777777" w:rsidR="00DC0ACF" w:rsidRPr="0063792C" w:rsidRDefault="00DC0ACF" w:rsidP="00DC0ACF"/>
    <w:p w14:paraId="0D731AB3" w14:textId="59990BDE" w:rsidR="00DC0ACF" w:rsidRPr="0063792C" w:rsidRDefault="00DC0ACF" w:rsidP="00DC0ACF">
      <w:r w:rsidRPr="0063792C">
        <w:t xml:space="preserve">After reviewing the above discussion of the steps the </w:t>
      </w:r>
      <w:r w:rsidR="00856D91">
        <w:t>Issuer</w:t>
      </w:r>
      <w:r w:rsidRPr="0063792C">
        <w:t xml:space="preserve"> intends to take, potential Investors should consider whether achievement of each step within the estimated time frame will be realistic in their judgment. Potential Investors should also assess the consequences to the </w:t>
      </w:r>
      <w:r w:rsidR="00856D91">
        <w:t>Issuer</w:t>
      </w:r>
      <w:r w:rsidRPr="0063792C">
        <w:t xml:space="preserve"> of any delays in taking these steps and whether the </w:t>
      </w:r>
      <w:r w:rsidR="00856D91">
        <w:t>Issuer</w:t>
      </w:r>
      <w:r w:rsidRPr="0063792C">
        <w:t xml:space="preserve"> will need additional financing to accomplish them.</w:t>
      </w:r>
    </w:p>
    <w:p w14:paraId="13D3F476" w14:textId="77777777" w:rsidR="00DC0ACF" w:rsidRPr="0063792C" w:rsidRDefault="00DC0ACF" w:rsidP="00DC0ACF"/>
    <w:p w14:paraId="45560585" w14:textId="77777777" w:rsidR="00DC0ACF" w:rsidRPr="0063792C" w:rsidRDefault="00DC0ACF" w:rsidP="00DC0ACF">
      <w:r w:rsidRPr="0063792C">
        <w:t xml:space="preserve">Please see </w:t>
      </w:r>
      <w:r>
        <w:t xml:space="preserve">the financial statements attached as </w:t>
      </w:r>
      <w:r w:rsidRPr="00485FB0">
        <w:rPr>
          <w:u w:val="single"/>
        </w:rPr>
        <w:t xml:space="preserve">Exhibit </w:t>
      </w:r>
      <w:r>
        <w:rPr>
          <w:u w:val="single"/>
        </w:rPr>
        <w:t>A</w:t>
      </w:r>
      <w:r w:rsidRPr="0063792C">
        <w:t xml:space="preserve"> for subsequent events and applicable disclosures.</w:t>
      </w:r>
    </w:p>
    <w:p w14:paraId="101E9111" w14:textId="77777777" w:rsidR="00DC0ACF" w:rsidRDefault="00DC0ACF" w:rsidP="00DC0ACF">
      <w:pPr>
        <w:pStyle w:val="Heading2"/>
      </w:pPr>
    </w:p>
    <w:p w14:paraId="7FAFF32B" w14:textId="77777777" w:rsidR="00DC0ACF" w:rsidRPr="0063792C" w:rsidRDefault="00DC0ACF" w:rsidP="00DC0ACF">
      <w:pPr>
        <w:pStyle w:val="Heading2"/>
      </w:pPr>
      <w:bookmarkStart w:id="56" w:name="_Toc103593668"/>
      <w:r w:rsidRPr="0063792C">
        <w:t>Material Changes and Other Information</w:t>
      </w:r>
      <w:bookmarkEnd w:id="56"/>
      <w:r w:rsidRPr="0063792C">
        <w:t xml:space="preserve"> </w:t>
      </w:r>
    </w:p>
    <w:p w14:paraId="1C10A917" w14:textId="77777777" w:rsidR="00DC0ACF" w:rsidRDefault="00DC0ACF" w:rsidP="00DC0ACF">
      <w:pPr>
        <w:rPr>
          <w:b/>
        </w:rPr>
      </w:pPr>
    </w:p>
    <w:p w14:paraId="4633A38F" w14:textId="7D7E593A" w:rsidR="00DC0ACF" w:rsidRDefault="001E4909" w:rsidP="00DC0ACF">
      <w:r w:rsidRPr="001E4909">
        <w:t xml:space="preserve">None </w:t>
      </w:r>
    </w:p>
    <w:p w14:paraId="46167460" w14:textId="77777777" w:rsidR="00DC0ACF" w:rsidRDefault="00DC0ACF" w:rsidP="00DC0ACF"/>
    <w:p w14:paraId="6B64B7B8" w14:textId="77777777" w:rsidR="00DC0ACF" w:rsidRDefault="00DC0ACF" w:rsidP="00DC0ACF"/>
    <w:p w14:paraId="11E8FEFD" w14:textId="77777777" w:rsidR="00DC0ACF" w:rsidRPr="00344238" w:rsidRDefault="00DC0ACF" w:rsidP="00DC0ACF"/>
    <w:p w14:paraId="2E0275A2" w14:textId="77777777" w:rsidR="00CF60DD" w:rsidRDefault="00CF60DD">
      <w:pPr>
        <w:jc w:val="left"/>
        <w:rPr>
          <w:b/>
        </w:rPr>
      </w:pPr>
      <w:bookmarkStart w:id="57" w:name="_Toc103593669"/>
      <w:r>
        <w:br w:type="page"/>
      </w:r>
    </w:p>
    <w:p w14:paraId="24A7590D" w14:textId="77777777" w:rsidR="00CF60DD" w:rsidRPr="0063792C" w:rsidRDefault="00CF60DD" w:rsidP="00CF60DD">
      <w:pPr>
        <w:pStyle w:val="Heading2"/>
      </w:pPr>
      <w:bookmarkStart w:id="58" w:name="_Toc40120556"/>
      <w:bookmarkEnd w:id="57"/>
      <w:r w:rsidRPr="0063792C">
        <w:lastRenderedPageBreak/>
        <w:t>Previous Offerings of Securities</w:t>
      </w:r>
      <w:bookmarkEnd w:id="58"/>
    </w:p>
    <w:p w14:paraId="43100F21" w14:textId="77777777" w:rsidR="00CF60DD" w:rsidRPr="0063792C" w:rsidRDefault="00CF60DD" w:rsidP="00CF60DD">
      <w:pPr>
        <w:rPr>
          <w:b/>
          <w:i/>
          <w:iCs/>
        </w:rPr>
      </w:pPr>
    </w:p>
    <w:p w14:paraId="5A2142CC" w14:textId="77777777" w:rsidR="00CF60DD" w:rsidRPr="0063792C" w:rsidRDefault="00CF60DD" w:rsidP="00CF60DD">
      <w:r w:rsidRPr="0063792C">
        <w:t xml:space="preserve">We have made the following issuances of securities within the last three years: </w:t>
      </w:r>
    </w:p>
    <w:p w14:paraId="490C75D5" w14:textId="77777777" w:rsidR="00CF60DD" w:rsidRPr="0063792C" w:rsidRDefault="00CF60DD" w:rsidP="00CF60DD"/>
    <w:tbl>
      <w:tblPr>
        <w:tblW w:w="9360" w:type="dxa"/>
        <w:jc w:val="center"/>
        <w:tblLayout w:type="fixed"/>
        <w:tblCellMar>
          <w:top w:w="100" w:type="dxa"/>
          <w:left w:w="100" w:type="dxa"/>
          <w:bottom w:w="100" w:type="dxa"/>
          <w:right w:w="100" w:type="dxa"/>
        </w:tblCellMar>
        <w:tblLook w:val="0000" w:firstRow="0" w:lastRow="0" w:firstColumn="0" w:lastColumn="0" w:noHBand="0" w:noVBand="0"/>
      </w:tblPr>
      <w:tblGrid>
        <w:gridCol w:w="1560"/>
        <w:gridCol w:w="1560"/>
        <w:gridCol w:w="1560"/>
        <w:gridCol w:w="1560"/>
        <w:gridCol w:w="1650"/>
        <w:gridCol w:w="1470"/>
      </w:tblGrid>
      <w:tr w:rsidR="00CF60DD" w:rsidRPr="0063792C" w14:paraId="42D2E2AF" w14:textId="77777777" w:rsidTr="00525EE2">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E115187" w14:textId="77777777" w:rsidR="00CF60DD" w:rsidRPr="0063792C" w:rsidRDefault="00CF60DD" w:rsidP="00525EE2">
            <w:pPr>
              <w:keepNext/>
              <w:jc w:val="center"/>
            </w:pPr>
            <w:r w:rsidRPr="0063792C">
              <w:rPr>
                <w:b/>
                <w:bCs/>
              </w:rPr>
              <w:t>Security Type</w:t>
            </w:r>
          </w:p>
        </w:tc>
        <w:tc>
          <w:tcPr>
            <w:tcW w:w="156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971B07C" w14:textId="77777777" w:rsidR="00CF60DD" w:rsidRPr="0063792C" w:rsidRDefault="00CF60DD" w:rsidP="00525EE2">
            <w:pPr>
              <w:jc w:val="center"/>
            </w:pPr>
            <w:r w:rsidRPr="0063792C">
              <w:rPr>
                <w:b/>
                <w:bCs/>
              </w:rPr>
              <w:t xml:space="preserve">Principal Amount of Securities </w:t>
            </w:r>
            <w:r>
              <w:rPr>
                <w:b/>
                <w:bCs/>
              </w:rPr>
              <w:t>Sold</w:t>
            </w:r>
          </w:p>
        </w:tc>
        <w:tc>
          <w:tcPr>
            <w:tcW w:w="156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98C7C69" w14:textId="77777777" w:rsidR="00CF60DD" w:rsidRPr="0063792C" w:rsidRDefault="00CF60DD" w:rsidP="00525EE2">
            <w:pPr>
              <w:jc w:val="center"/>
              <w:rPr>
                <w:b/>
                <w:bCs/>
              </w:rPr>
            </w:pPr>
            <w:r w:rsidRPr="0063792C">
              <w:rPr>
                <w:b/>
              </w:rPr>
              <w:t xml:space="preserve">Amount of Securities </w:t>
            </w:r>
            <w:r w:rsidRPr="0063792C">
              <w:rPr>
                <w:b/>
                <w:bCs/>
              </w:rPr>
              <w:t>Issued</w:t>
            </w:r>
            <w:r>
              <w:rPr>
                <w:b/>
                <w:bCs/>
              </w:rPr>
              <w:t>/Holders</w:t>
            </w:r>
          </w:p>
        </w:tc>
        <w:tc>
          <w:tcPr>
            <w:tcW w:w="156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D8D8942" w14:textId="77777777" w:rsidR="00CF60DD" w:rsidRPr="0063792C" w:rsidRDefault="00CF60DD" w:rsidP="00525EE2">
            <w:pPr>
              <w:jc w:val="center"/>
            </w:pPr>
            <w:r w:rsidRPr="0063792C">
              <w:rPr>
                <w:b/>
                <w:bCs/>
              </w:rPr>
              <w:t>Use of Proceeds</w:t>
            </w:r>
          </w:p>
        </w:tc>
        <w:tc>
          <w:tcPr>
            <w:tcW w:w="165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9D77CE5" w14:textId="77777777" w:rsidR="00CF60DD" w:rsidRPr="0063792C" w:rsidRDefault="00CF60DD" w:rsidP="00525EE2">
            <w:pPr>
              <w:jc w:val="center"/>
            </w:pPr>
            <w:r w:rsidRPr="0063792C">
              <w:rPr>
                <w:b/>
                <w:bCs/>
              </w:rPr>
              <w:t>Issue Date</w:t>
            </w:r>
          </w:p>
        </w:tc>
        <w:tc>
          <w:tcPr>
            <w:tcW w:w="147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ADF47D0" w14:textId="77777777" w:rsidR="00CF60DD" w:rsidRPr="0063792C" w:rsidRDefault="00CF60DD" w:rsidP="00525EE2">
            <w:pPr>
              <w:jc w:val="center"/>
            </w:pPr>
            <w:r w:rsidRPr="0063792C">
              <w:rPr>
                <w:b/>
                <w:bCs/>
              </w:rPr>
              <w:t>Exemption from Registration Used or Public Offering</w:t>
            </w:r>
          </w:p>
        </w:tc>
      </w:tr>
      <w:tr w:rsidR="0054280C" w:rsidRPr="0063792C" w14:paraId="04027489" w14:textId="77777777" w:rsidTr="00525EE2">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6E9584" w14:textId="73A63573" w:rsidR="0054280C" w:rsidRPr="007D2E8A" w:rsidRDefault="0054280C" w:rsidP="0054280C">
            <w:pPr>
              <w:keepNext/>
              <w:jc w:val="center"/>
            </w:pPr>
            <w:r>
              <w:t>Convertible Note</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6ADB12" w14:textId="6FA3A2B7" w:rsidR="0054280C" w:rsidRPr="00551BA5" w:rsidRDefault="0054280C" w:rsidP="0054280C">
            <w:pPr>
              <w:jc w:val="center"/>
            </w:pPr>
            <w:r w:rsidRPr="00551BA5">
              <w:t>$</w:t>
            </w:r>
            <w:r>
              <w:t>100,000</w:t>
            </w:r>
          </w:p>
        </w:tc>
        <w:tc>
          <w:tcPr>
            <w:tcW w:w="1560" w:type="dxa"/>
            <w:tcBorders>
              <w:top w:val="single" w:sz="8" w:space="0" w:color="000000"/>
              <w:left w:val="single" w:sz="8" w:space="0" w:color="000000"/>
              <w:bottom w:val="single" w:sz="8" w:space="0" w:color="000000"/>
              <w:right w:val="single" w:sz="8" w:space="0" w:color="000000"/>
            </w:tcBorders>
          </w:tcPr>
          <w:p w14:paraId="56630D84" w14:textId="77777777" w:rsidR="0054280C" w:rsidRPr="007D2E8A" w:rsidRDefault="0054280C" w:rsidP="0054280C">
            <w:pPr>
              <w:jc w:val="center"/>
            </w:pPr>
          </w:p>
          <w:p w14:paraId="3BBEA691" w14:textId="77777777" w:rsidR="0054280C" w:rsidRDefault="0054280C" w:rsidP="0054280C">
            <w:pPr>
              <w:jc w:val="center"/>
            </w:pPr>
          </w:p>
          <w:p w14:paraId="76582342" w14:textId="5E24903F" w:rsidR="0054280C" w:rsidRPr="007D2E8A" w:rsidRDefault="0054280C" w:rsidP="0054280C">
            <w:pPr>
              <w:jc w:val="center"/>
            </w:pPr>
            <w:r>
              <w:t>1</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4D96FC" w14:textId="4EDDA0F0" w:rsidR="0054280C" w:rsidRPr="0054280C" w:rsidRDefault="0054280C" w:rsidP="0054280C">
            <w:pPr>
              <w:jc w:val="center"/>
            </w:pPr>
            <w:r w:rsidRPr="0054280C">
              <w:t>Technology &amp; Product Development and General Working Capital</w:t>
            </w:r>
          </w:p>
        </w:tc>
        <w:tc>
          <w:tcPr>
            <w:tcW w:w="16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A60CB2" w14:textId="322F1145" w:rsidR="0054280C" w:rsidRDefault="0054280C" w:rsidP="0054280C">
            <w:pPr>
              <w:jc w:val="center"/>
            </w:pPr>
            <w:r>
              <w:t>June 13, 2022</w:t>
            </w:r>
          </w:p>
        </w:tc>
        <w:tc>
          <w:tcPr>
            <w:tcW w:w="14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6C1230" w14:textId="644FA2C7" w:rsidR="0054280C" w:rsidRDefault="0054280C" w:rsidP="0054280C">
            <w:pPr>
              <w:jc w:val="center"/>
            </w:pPr>
            <w:r>
              <w:t>Section 4(a)(2)</w:t>
            </w:r>
          </w:p>
        </w:tc>
      </w:tr>
      <w:tr w:rsidR="003334F6" w:rsidRPr="0063792C" w14:paraId="784FD860" w14:textId="77777777" w:rsidTr="00525EE2">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14CCB1" w14:textId="5DDEF5BD" w:rsidR="003334F6" w:rsidRPr="007D2E8A" w:rsidRDefault="003334F6" w:rsidP="003334F6">
            <w:pPr>
              <w:keepNext/>
              <w:jc w:val="center"/>
            </w:pPr>
            <w:r>
              <w:t>Fixed Percentage Convertible Equity Agreement</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FD75B2" w14:textId="03E8F8D3" w:rsidR="003334F6" w:rsidRPr="00551BA5" w:rsidRDefault="003334F6" w:rsidP="003334F6">
            <w:pPr>
              <w:jc w:val="center"/>
            </w:pPr>
            <w:r>
              <w:t>$20,000</w:t>
            </w:r>
          </w:p>
        </w:tc>
        <w:tc>
          <w:tcPr>
            <w:tcW w:w="1560" w:type="dxa"/>
            <w:tcBorders>
              <w:top w:val="single" w:sz="8" w:space="0" w:color="000000"/>
              <w:left w:val="single" w:sz="8" w:space="0" w:color="000000"/>
              <w:bottom w:val="single" w:sz="8" w:space="0" w:color="000000"/>
              <w:right w:val="single" w:sz="8" w:space="0" w:color="000000"/>
            </w:tcBorders>
          </w:tcPr>
          <w:p w14:paraId="6D5DF60C" w14:textId="77777777" w:rsidR="003334F6" w:rsidRDefault="003334F6" w:rsidP="003334F6">
            <w:pPr>
              <w:jc w:val="center"/>
            </w:pPr>
          </w:p>
          <w:p w14:paraId="2523FF24" w14:textId="77777777" w:rsidR="003334F6" w:rsidRDefault="003334F6" w:rsidP="003334F6">
            <w:pPr>
              <w:jc w:val="center"/>
            </w:pPr>
          </w:p>
          <w:p w14:paraId="3D990DDF" w14:textId="60D4752A" w:rsidR="003334F6" w:rsidRPr="007D2E8A" w:rsidRDefault="003334F6" w:rsidP="003334F6">
            <w:pPr>
              <w:jc w:val="center"/>
            </w:pPr>
            <w:r>
              <w:t>4.5% of Fully-Diluted Capitalization</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B6068B" w14:textId="179DCF8B" w:rsidR="003334F6" w:rsidRPr="0054280C" w:rsidRDefault="003334F6" w:rsidP="003334F6">
            <w:pPr>
              <w:jc w:val="center"/>
            </w:pPr>
            <w:r w:rsidRPr="0054280C">
              <w:t>Technology &amp; Product Development and General Working Capital</w:t>
            </w:r>
          </w:p>
        </w:tc>
        <w:tc>
          <w:tcPr>
            <w:tcW w:w="16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25D6DD" w14:textId="7876A326" w:rsidR="003334F6" w:rsidRDefault="003334F6" w:rsidP="003334F6">
            <w:pPr>
              <w:jc w:val="center"/>
            </w:pPr>
            <w:r>
              <w:t>June 13, 2022</w:t>
            </w:r>
          </w:p>
        </w:tc>
        <w:tc>
          <w:tcPr>
            <w:tcW w:w="14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B0CA5A" w14:textId="6655CB9B" w:rsidR="003334F6" w:rsidRPr="0054280C" w:rsidRDefault="003334F6" w:rsidP="003334F6">
            <w:pPr>
              <w:jc w:val="center"/>
            </w:pPr>
            <w:r>
              <w:t>Section 4(a)(2)</w:t>
            </w:r>
          </w:p>
        </w:tc>
      </w:tr>
      <w:tr w:rsidR="003334F6" w:rsidRPr="0063792C" w14:paraId="6DE5FA45" w14:textId="77777777" w:rsidTr="00525EE2">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3D6EFA" w14:textId="0E1482A2" w:rsidR="003334F6" w:rsidRPr="0063792C" w:rsidRDefault="003334F6" w:rsidP="003334F6">
            <w:pPr>
              <w:keepNext/>
              <w:jc w:val="center"/>
              <w:rPr>
                <w:highlight w:val="yellow"/>
              </w:rPr>
            </w:pPr>
            <w:r w:rsidRPr="007D2E8A">
              <w:t>SAFE (Simple Agreement for Future Equity)</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D76A66" w14:textId="2B91F0EB" w:rsidR="003334F6" w:rsidRPr="0063792C" w:rsidRDefault="003334F6" w:rsidP="003334F6">
            <w:pPr>
              <w:jc w:val="center"/>
              <w:rPr>
                <w:highlight w:val="yellow"/>
              </w:rPr>
            </w:pPr>
            <w:r w:rsidRPr="004B22F6">
              <w:t>$387,025</w:t>
            </w:r>
          </w:p>
        </w:tc>
        <w:tc>
          <w:tcPr>
            <w:tcW w:w="1560" w:type="dxa"/>
            <w:tcBorders>
              <w:top w:val="single" w:sz="8" w:space="0" w:color="000000"/>
              <w:left w:val="single" w:sz="8" w:space="0" w:color="000000"/>
              <w:bottom w:val="single" w:sz="8" w:space="0" w:color="000000"/>
              <w:right w:val="single" w:sz="8" w:space="0" w:color="000000"/>
            </w:tcBorders>
          </w:tcPr>
          <w:p w14:paraId="2B19B561" w14:textId="77777777" w:rsidR="003334F6" w:rsidRPr="007D2E8A" w:rsidRDefault="003334F6" w:rsidP="003334F6">
            <w:pPr>
              <w:jc w:val="center"/>
            </w:pPr>
          </w:p>
          <w:p w14:paraId="6C484AAB" w14:textId="77777777" w:rsidR="003334F6" w:rsidRDefault="003334F6" w:rsidP="003334F6">
            <w:pPr>
              <w:jc w:val="center"/>
            </w:pPr>
          </w:p>
          <w:p w14:paraId="6012159E" w14:textId="4CBF91C7" w:rsidR="003334F6" w:rsidRPr="0063792C" w:rsidRDefault="003334F6" w:rsidP="003334F6">
            <w:pPr>
              <w:jc w:val="center"/>
              <w:rPr>
                <w:highlight w:val="yellow"/>
              </w:rPr>
            </w:pPr>
            <w:r>
              <w:t>3</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D448AF" w14:textId="49012A46" w:rsidR="003334F6" w:rsidRPr="0054280C" w:rsidRDefault="003334F6" w:rsidP="003334F6">
            <w:pPr>
              <w:jc w:val="center"/>
            </w:pPr>
            <w:r w:rsidRPr="0054280C">
              <w:t>Technology &amp; Product Development and General Working Capital</w:t>
            </w:r>
          </w:p>
        </w:tc>
        <w:tc>
          <w:tcPr>
            <w:tcW w:w="16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DB8F3E" w14:textId="77777777" w:rsidR="003334F6" w:rsidRDefault="003334F6" w:rsidP="003334F6">
            <w:pPr>
              <w:jc w:val="center"/>
            </w:pPr>
            <w:r>
              <w:t>August 11, 2022;</w:t>
            </w:r>
          </w:p>
          <w:p w14:paraId="5AF525D5" w14:textId="207CBEF8" w:rsidR="003334F6" w:rsidRPr="007F7910" w:rsidRDefault="003334F6" w:rsidP="003334F6">
            <w:pPr>
              <w:jc w:val="center"/>
            </w:pPr>
            <w:r>
              <w:t>August 15, 2022; August 19, 2022</w:t>
            </w:r>
          </w:p>
        </w:tc>
        <w:tc>
          <w:tcPr>
            <w:tcW w:w="14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1C5497" w14:textId="6112B0D9" w:rsidR="003334F6" w:rsidRPr="0063792C" w:rsidRDefault="003334F6" w:rsidP="003334F6">
            <w:pPr>
              <w:jc w:val="center"/>
              <w:rPr>
                <w:highlight w:val="yellow"/>
              </w:rPr>
            </w:pPr>
            <w:r w:rsidRPr="0054280C">
              <w:t>Section 4(a)(2)</w:t>
            </w:r>
          </w:p>
        </w:tc>
      </w:tr>
      <w:tr w:rsidR="003334F6" w:rsidRPr="0063792C" w14:paraId="6E267766" w14:textId="77777777" w:rsidTr="00525EE2">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BF2BF8" w14:textId="77777777" w:rsidR="003334F6" w:rsidRPr="0063792C" w:rsidRDefault="003334F6" w:rsidP="003334F6">
            <w:pPr>
              <w:keepNext/>
              <w:jc w:val="center"/>
              <w:rPr>
                <w:highlight w:val="yellow"/>
              </w:rPr>
            </w:pPr>
            <w:r w:rsidRPr="00551BA5">
              <w:t>SAFE (Simple Agreement for Future Equity)</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068929" w14:textId="0A294AEC" w:rsidR="003334F6" w:rsidRPr="0063792C" w:rsidRDefault="003334F6" w:rsidP="003334F6">
            <w:pPr>
              <w:jc w:val="center"/>
              <w:rPr>
                <w:highlight w:val="yellow"/>
              </w:rPr>
            </w:pPr>
            <w:r w:rsidRPr="00551BA5">
              <w:t>$</w:t>
            </w:r>
            <w:r>
              <w:t>176,990</w:t>
            </w:r>
          </w:p>
        </w:tc>
        <w:tc>
          <w:tcPr>
            <w:tcW w:w="1560" w:type="dxa"/>
            <w:tcBorders>
              <w:top w:val="single" w:sz="8" w:space="0" w:color="000000"/>
              <w:left w:val="single" w:sz="8" w:space="0" w:color="000000"/>
              <w:bottom w:val="single" w:sz="8" w:space="0" w:color="000000"/>
              <w:right w:val="single" w:sz="8" w:space="0" w:color="000000"/>
            </w:tcBorders>
          </w:tcPr>
          <w:p w14:paraId="2CC8A8FC" w14:textId="77777777" w:rsidR="003334F6" w:rsidRPr="00551BA5" w:rsidRDefault="003334F6" w:rsidP="003334F6">
            <w:pPr>
              <w:jc w:val="center"/>
            </w:pPr>
          </w:p>
          <w:p w14:paraId="4E90A9F2" w14:textId="77777777" w:rsidR="003334F6" w:rsidRDefault="003334F6" w:rsidP="003334F6">
            <w:pPr>
              <w:jc w:val="center"/>
            </w:pPr>
          </w:p>
          <w:p w14:paraId="1CFE8E2F" w14:textId="07D9EE1E" w:rsidR="003334F6" w:rsidRPr="0063792C" w:rsidRDefault="003334F6" w:rsidP="003334F6">
            <w:pPr>
              <w:jc w:val="center"/>
              <w:rPr>
                <w:highlight w:val="yellow"/>
              </w:rPr>
            </w:pPr>
            <w:r>
              <w:t>1</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A164E2" w14:textId="38D14BD1" w:rsidR="003334F6" w:rsidRPr="0054280C" w:rsidRDefault="003334F6" w:rsidP="003334F6">
            <w:pPr>
              <w:jc w:val="center"/>
            </w:pPr>
            <w:r w:rsidRPr="0054280C">
              <w:t>Technology &amp; Product Development and General Working Capital</w:t>
            </w:r>
          </w:p>
        </w:tc>
        <w:tc>
          <w:tcPr>
            <w:tcW w:w="16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1534BE" w14:textId="6933A02F" w:rsidR="003334F6" w:rsidRPr="0063792C" w:rsidRDefault="003334F6" w:rsidP="003334F6">
            <w:pPr>
              <w:jc w:val="center"/>
              <w:rPr>
                <w:highlight w:val="yellow"/>
              </w:rPr>
            </w:pPr>
            <w:r>
              <w:t>March 17, 2023</w:t>
            </w:r>
          </w:p>
        </w:tc>
        <w:tc>
          <w:tcPr>
            <w:tcW w:w="14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95568F" w14:textId="66F17A30" w:rsidR="003334F6" w:rsidRPr="0063792C" w:rsidRDefault="003334F6" w:rsidP="003334F6">
            <w:pPr>
              <w:jc w:val="center"/>
              <w:rPr>
                <w:highlight w:val="yellow"/>
              </w:rPr>
            </w:pPr>
            <w:r w:rsidRPr="0054280C">
              <w:t>Section 4(a)(2)</w:t>
            </w:r>
          </w:p>
        </w:tc>
      </w:tr>
      <w:tr w:rsidR="00545AE6" w:rsidRPr="0063792C" w14:paraId="40C15300" w14:textId="77777777" w:rsidTr="00525EE2">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CF476C" w14:textId="4100BAB5" w:rsidR="00545AE6" w:rsidRPr="00551BA5" w:rsidRDefault="00F16784" w:rsidP="00545AE6">
            <w:pPr>
              <w:keepNext/>
            </w:pPr>
            <w:r w:rsidRPr="00551BA5">
              <w:t>Common Stock</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F3D2F4" w14:textId="30F04927" w:rsidR="00545AE6" w:rsidRPr="00551BA5" w:rsidRDefault="00545AE6" w:rsidP="00545AE6">
            <w:pPr>
              <w:jc w:val="center"/>
            </w:pPr>
            <w:r w:rsidRPr="00551BA5">
              <w:t>$0</w:t>
            </w:r>
          </w:p>
        </w:tc>
        <w:tc>
          <w:tcPr>
            <w:tcW w:w="1560" w:type="dxa"/>
            <w:tcBorders>
              <w:top w:val="single" w:sz="8" w:space="0" w:color="000000"/>
              <w:left w:val="single" w:sz="8" w:space="0" w:color="000000"/>
              <w:bottom w:val="single" w:sz="8" w:space="0" w:color="000000"/>
              <w:right w:val="single" w:sz="8" w:space="0" w:color="000000"/>
            </w:tcBorders>
          </w:tcPr>
          <w:p w14:paraId="5CF09083" w14:textId="2156E482" w:rsidR="00545AE6" w:rsidRPr="00551BA5" w:rsidRDefault="00545AE6" w:rsidP="00545AE6">
            <w:pPr>
              <w:jc w:val="center"/>
            </w:pPr>
            <w:r>
              <w:t>524,</w:t>
            </w:r>
            <w:r w:rsidR="000C4551">
              <w:t>392</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E4E26F" w14:textId="5FF273F2" w:rsidR="00545AE6" w:rsidRPr="0054280C" w:rsidRDefault="00545AE6" w:rsidP="00545AE6">
            <w:pPr>
              <w:jc w:val="center"/>
            </w:pPr>
            <w:r w:rsidRPr="00551BA5">
              <w:t>N/A</w:t>
            </w:r>
          </w:p>
        </w:tc>
        <w:tc>
          <w:tcPr>
            <w:tcW w:w="16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CF84EE" w14:textId="7CC8DCF2" w:rsidR="00545AE6" w:rsidRPr="00896AD3" w:rsidRDefault="00545AE6" w:rsidP="00545AE6">
            <w:pPr>
              <w:jc w:val="center"/>
            </w:pPr>
            <w:r w:rsidRPr="00896AD3">
              <w:t>July 1, 2024</w:t>
            </w:r>
          </w:p>
        </w:tc>
        <w:tc>
          <w:tcPr>
            <w:tcW w:w="14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2B78AE" w14:textId="67A0FC9A" w:rsidR="00545AE6" w:rsidRPr="0054280C" w:rsidRDefault="00545AE6" w:rsidP="00545AE6">
            <w:pPr>
              <w:jc w:val="center"/>
            </w:pPr>
            <w:r>
              <w:t>Rule 701</w:t>
            </w:r>
            <w:r w:rsidRPr="00551BA5">
              <w:t xml:space="preserve"> </w:t>
            </w:r>
          </w:p>
        </w:tc>
      </w:tr>
      <w:tr w:rsidR="00545AE6" w:rsidRPr="0063792C" w14:paraId="4A96359D" w14:textId="77777777" w:rsidTr="00525EE2">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F564A3" w14:textId="0DBA6D72" w:rsidR="00545AE6" w:rsidRPr="00551BA5" w:rsidRDefault="00545AE6" w:rsidP="00545AE6">
            <w:pPr>
              <w:keepNext/>
              <w:jc w:val="center"/>
            </w:pPr>
            <w:r w:rsidRPr="00551BA5">
              <w:t>Option to Purchase Common Stock</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227E82" w14:textId="440568A2" w:rsidR="00545AE6" w:rsidRPr="00551BA5" w:rsidRDefault="00545AE6" w:rsidP="00545AE6">
            <w:pPr>
              <w:jc w:val="center"/>
            </w:pPr>
            <w:r w:rsidRPr="00551BA5">
              <w:t>$0</w:t>
            </w:r>
          </w:p>
        </w:tc>
        <w:tc>
          <w:tcPr>
            <w:tcW w:w="1560" w:type="dxa"/>
            <w:tcBorders>
              <w:top w:val="single" w:sz="8" w:space="0" w:color="000000"/>
              <w:left w:val="single" w:sz="8" w:space="0" w:color="000000"/>
              <w:bottom w:val="single" w:sz="8" w:space="0" w:color="000000"/>
              <w:right w:val="single" w:sz="8" w:space="0" w:color="000000"/>
            </w:tcBorders>
          </w:tcPr>
          <w:p w14:paraId="1E8BEDDD" w14:textId="77777777" w:rsidR="00545AE6" w:rsidRPr="00551BA5" w:rsidRDefault="00545AE6" w:rsidP="00545AE6">
            <w:pPr>
              <w:jc w:val="center"/>
            </w:pPr>
          </w:p>
          <w:p w14:paraId="585C0B08" w14:textId="53C3BE86" w:rsidR="00545AE6" w:rsidRPr="00551BA5" w:rsidRDefault="00545AE6" w:rsidP="00545AE6">
            <w:pPr>
              <w:jc w:val="center"/>
            </w:pPr>
            <w:r>
              <w:t>400,000</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200886" w14:textId="6682774D" w:rsidR="00545AE6" w:rsidRPr="0054280C" w:rsidRDefault="00545AE6" w:rsidP="00545AE6">
            <w:pPr>
              <w:jc w:val="center"/>
            </w:pPr>
            <w:r w:rsidRPr="00551BA5">
              <w:t>N/A</w:t>
            </w:r>
          </w:p>
        </w:tc>
        <w:tc>
          <w:tcPr>
            <w:tcW w:w="16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F3D59F" w14:textId="2FD6481A" w:rsidR="00545AE6" w:rsidRPr="00896AD3" w:rsidRDefault="00545AE6" w:rsidP="00545AE6">
            <w:pPr>
              <w:jc w:val="center"/>
            </w:pPr>
            <w:r w:rsidRPr="00896AD3">
              <w:t>July 1, 2024</w:t>
            </w:r>
          </w:p>
        </w:tc>
        <w:tc>
          <w:tcPr>
            <w:tcW w:w="14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56FF8A" w14:textId="2B2C4A68" w:rsidR="00545AE6" w:rsidRPr="0054280C" w:rsidRDefault="00545AE6" w:rsidP="00545AE6">
            <w:pPr>
              <w:jc w:val="center"/>
            </w:pPr>
            <w:r>
              <w:t>Rule 701</w:t>
            </w:r>
            <w:r w:rsidRPr="00551BA5">
              <w:t xml:space="preserve"> </w:t>
            </w:r>
          </w:p>
        </w:tc>
      </w:tr>
    </w:tbl>
    <w:p w14:paraId="7F85077C" w14:textId="77777777" w:rsidR="00CF60DD" w:rsidRPr="0063792C" w:rsidRDefault="00CF60DD" w:rsidP="00CF60DD"/>
    <w:p w14:paraId="2D7D2DAA" w14:textId="77777777" w:rsidR="00CF60DD" w:rsidRPr="0063792C" w:rsidRDefault="00CF60DD" w:rsidP="00CF60DD">
      <w:r w:rsidRPr="0063792C">
        <w:t>See the section titled “</w:t>
      </w:r>
      <w:r w:rsidRPr="0063792C">
        <w:rPr>
          <w:i/>
          <w:iCs/>
        </w:rPr>
        <w:t>Capitalization and Ownership</w:t>
      </w:r>
      <w:r w:rsidRPr="0063792C">
        <w:t>” for more information regarding the securities issued in our previous offerings of securities.</w:t>
      </w:r>
    </w:p>
    <w:p w14:paraId="30FDCCC5" w14:textId="0FB16CCB" w:rsidR="00DC0ACF" w:rsidRPr="0063792C" w:rsidRDefault="00DC0ACF" w:rsidP="00DC0ACF"/>
    <w:p w14:paraId="13A55E7C" w14:textId="77777777" w:rsidR="00DC0ACF" w:rsidRPr="0063792C" w:rsidRDefault="00DC0ACF" w:rsidP="00DC0ACF"/>
    <w:p w14:paraId="059E9E80" w14:textId="77777777" w:rsidR="000C4551" w:rsidRDefault="000C4551">
      <w:pPr>
        <w:jc w:val="left"/>
        <w:rPr>
          <w:b/>
        </w:rPr>
      </w:pPr>
      <w:bookmarkStart w:id="59" w:name="_Toc103593670"/>
      <w:r>
        <w:br w:type="page"/>
      </w:r>
    </w:p>
    <w:p w14:paraId="4A26885F" w14:textId="3A41B3E1" w:rsidR="00DC0ACF" w:rsidRPr="0063792C" w:rsidRDefault="00DC0ACF" w:rsidP="00DC0ACF">
      <w:pPr>
        <w:pStyle w:val="Heading1"/>
        <w:jc w:val="center"/>
      </w:pPr>
      <w:r w:rsidRPr="0063792C">
        <w:lastRenderedPageBreak/>
        <w:t>TRANSACTIONS WITH RELATED PERSONS AND CONFLICTS OF INTEREST</w:t>
      </w:r>
      <w:bookmarkEnd w:id="59"/>
    </w:p>
    <w:p w14:paraId="434A8FBC" w14:textId="77777777" w:rsidR="00DC0ACF" w:rsidRPr="0063792C" w:rsidRDefault="00DC0ACF" w:rsidP="00DC0ACF"/>
    <w:p w14:paraId="1E78F65E" w14:textId="58C1CB00" w:rsidR="00DC0ACF" w:rsidRPr="0063792C" w:rsidRDefault="00DC0ACF" w:rsidP="00DC0ACF">
      <w:r w:rsidRPr="0063792C">
        <w:t xml:space="preserve">From time to time the </w:t>
      </w:r>
      <w:r w:rsidR="00450620">
        <w:t>Issuer</w:t>
      </w:r>
      <w:r w:rsidRPr="0063792C">
        <w:t xml:space="preserve"> may engage in transactions with related persons. Related persons are defined as any director or officer of the </w:t>
      </w:r>
      <w:r w:rsidR="00450620">
        <w:t>Issuer</w:t>
      </w:r>
      <w:r w:rsidRPr="0063792C">
        <w:t>; any person who is the beneficial owner of twenty</w:t>
      </w:r>
      <w:r>
        <w:t xml:space="preserve"> percent</w:t>
      </w:r>
      <w:r w:rsidRPr="0063792C">
        <w:t xml:space="preserve"> (20%) or more of the </w:t>
      </w:r>
      <w:r w:rsidR="00450620">
        <w:t>Issuer</w:t>
      </w:r>
      <w:r w:rsidRPr="0063792C">
        <w:t xml:space="preserve">’s outstanding voting equity securities, calculated on the basis of voting power; any promoter of the </w:t>
      </w:r>
      <w:r w:rsidR="00450620">
        <w:t>Issuer</w:t>
      </w:r>
      <w:r w:rsidRPr="0063792C">
        <w:t xml:space="preserve">; any immediate family member of any of the foregoing persons or an entity controlled by any such person or persons. </w:t>
      </w:r>
      <w:r w:rsidRPr="00BE7845">
        <w:t xml:space="preserve">Additionally, the </w:t>
      </w:r>
      <w:r w:rsidR="00450620">
        <w:t>Issuer</w:t>
      </w:r>
      <w:r w:rsidRPr="00BE7845">
        <w:t xml:space="preserve"> will disclose here any transaction</w:t>
      </w:r>
      <w:r w:rsidRPr="00F92A06">
        <w:t xml:space="preserve"> since the beginning of the issuer's last fiscal year, or any currently proposed transaction, to which the issuer was or is to be a party</w:t>
      </w:r>
      <w:r w:rsidRPr="00BE7845">
        <w:t xml:space="preserve"> and the amount involved exceeds five percent (5%) of the aggregate amount of capital raised by the issuer in reliance on section 4(a)(6)</w:t>
      </w:r>
      <w:r>
        <w:t xml:space="preserve">, including the </w:t>
      </w:r>
      <w:r w:rsidRPr="00645B1B">
        <w:t xml:space="preserve">Target Offering Amount </w:t>
      </w:r>
      <w:r>
        <w:t>of this Offering,</w:t>
      </w:r>
      <w:r w:rsidRPr="00BE7845">
        <w:t xml:space="preserve"> and the counter party is either (i) </w:t>
      </w:r>
      <w:r>
        <w:t>a</w:t>
      </w:r>
      <w:r w:rsidRPr="00BE7845">
        <w:t xml:space="preserve">ny director or officer of the issuer; (ii) </w:t>
      </w:r>
      <w:r>
        <w:t>a</w:t>
      </w:r>
      <w:r w:rsidRPr="00BE7845">
        <w:t xml:space="preserve">ny person who is, as of the most recent practicable date but no earlier than 120 days prior to the date the offering statement or report is filed, the beneficial owner of </w:t>
      </w:r>
      <w:r>
        <w:t xml:space="preserve">twenty </w:t>
      </w:r>
      <w:r w:rsidRPr="00BE7845">
        <w:t>percent</w:t>
      </w:r>
      <w:r>
        <w:t xml:space="preserve"> (</w:t>
      </w:r>
      <w:r w:rsidRPr="00BE7845">
        <w:t>20</w:t>
      </w:r>
      <w:r>
        <w:t>%)</w:t>
      </w:r>
      <w:r w:rsidRPr="00BE7845">
        <w:t xml:space="preserve"> or more of the issuer's outstanding voting equity securities, calculated on the basis of voting power; (iii) </w:t>
      </w:r>
      <w:r>
        <w:t>i</w:t>
      </w:r>
      <w:r w:rsidRPr="00BE7845">
        <w:t xml:space="preserve">f the issuer was incorporated or organized within the past three years, any promoter of the issuer; or (iv) </w:t>
      </w:r>
      <w:r>
        <w:t>a</w:t>
      </w:r>
      <w:r w:rsidRPr="00BE7845">
        <w:t xml:space="preserve">ny member of the family of any of the foregoing persons, which includes a child, stepchild, grandchild, parent, stepparent, grandparent, spouse or spousal equivalent, sibling, mother-in-law, father-in-law, son-in-law, daughter-in-law, brother-in-law, or sister-in-law, and shall include adoptive relationships. The term </w:t>
      </w:r>
      <w:r w:rsidRPr="00BE7845">
        <w:rPr>
          <w:i/>
          <w:iCs/>
        </w:rPr>
        <w:t>spousal equivalent</w:t>
      </w:r>
      <w:r w:rsidRPr="00BE7845">
        <w:t xml:space="preserve"> means a cohabitant occupying a relationship generally equivalent to that of a spouse.</w:t>
      </w:r>
    </w:p>
    <w:p w14:paraId="21902A2D" w14:textId="77777777" w:rsidR="00DC0ACF" w:rsidRPr="0063792C" w:rsidRDefault="00DC0ACF" w:rsidP="00DC0ACF">
      <w:r w:rsidRPr="0063792C">
        <w:t xml:space="preserve"> </w:t>
      </w:r>
    </w:p>
    <w:p w14:paraId="32AEB267" w14:textId="3338D7E2" w:rsidR="00DC0ACF" w:rsidRDefault="00DC0ACF" w:rsidP="00DC0ACF">
      <w:r w:rsidRPr="0063792C">
        <w:t xml:space="preserve">The </w:t>
      </w:r>
      <w:r w:rsidR="00450620">
        <w:t>Issuer</w:t>
      </w:r>
      <w:r w:rsidRPr="0063792C">
        <w:t xml:space="preserve"> has conducted the following transactions with related persons: </w:t>
      </w:r>
      <w:r w:rsidR="006944C5" w:rsidRPr="00D67EF9">
        <w:t>None</w:t>
      </w:r>
      <w:r w:rsidRPr="00D67EF9">
        <w:t>.</w:t>
      </w:r>
    </w:p>
    <w:p w14:paraId="745A8B91" w14:textId="4706128D" w:rsidR="00E85DA6" w:rsidRDefault="00E85DA6" w:rsidP="00DC0ACF"/>
    <w:p w14:paraId="72FED9C7" w14:textId="77777777" w:rsidR="00DC0ACF" w:rsidRPr="0063792C" w:rsidRDefault="00DC0ACF" w:rsidP="00DC0ACF"/>
    <w:p w14:paraId="1A406157" w14:textId="77777777" w:rsidR="00DC0ACF" w:rsidRPr="0063792C" w:rsidRDefault="00DC0ACF" w:rsidP="00DC0ACF">
      <w:pPr>
        <w:pStyle w:val="Heading1"/>
        <w:jc w:val="center"/>
      </w:pPr>
      <w:bookmarkStart w:id="60" w:name="_Toc103593671"/>
      <w:r w:rsidRPr="0063792C">
        <w:t>TAX MATTERS</w:t>
      </w:r>
      <w:bookmarkEnd w:id="60"/>
    </w:p>
    <w:p w14:paraId="32E310C9" w14:textId="77777777" w:rsidR="00DC0ACF" w:rsidRPr="0063792C" w:rsidRDefault="00DC0ACF" w:rsidP="00DC0ACF"/>
    <w:p w14:paraId="4C07C21D" w14:textId="77777777" w:rsidR="00DC0ACF" w:rsidRPr="0063792C" w:rsidRDefault="00DC0ACF" w:rsidP="00DC0ACF">
      <w:pPr>
        <w:spacing w:after="240"/>
      </w:pPr>
      <w:r w:rsidRPr="0063792C">
        <w:rPr>
          <w:b/>
          <w:bCs/>
        </w:rPr>
        <w:t xml:space="preserve">EACH PROSPECTIVE INVESTOR SHOULD CONSULT WITH </w:t>
      </w:r>
      <w:r>
        <w:rPr>
          <w:b/>
          <w:bCs/>
        </w:rPr>
        <w:t>THEIR</w:t>
      </w:r>
      <w:r w:rsidRPr="0063792C">
        <w:rPr>
          <w:b/>
          <w:bCs/>
        </w:rPr>
        <w:t xml:space="preserve"> OWN TAX AND ERISA ADVISOR AS TO THE PARTICULAR CONSEQUENCES TO THE INVESTOR OF THE PURCHASE, OWNERSHIP AND SALE OF THE INVESTOR’S SECURITIES, AS WELL AS POSSIBLE CHANGES IN THE TAX LAWS.</w:t>
      </w:r>
      <w:r w:rsidRPr="0063792C">
        <w:t xml:space="preserve"> </w:t>
      </w:r>
    </w:p>
    <w:p w14:paraId="60AEBD3B" w14:textId="77777777" w:rsidR="00DC0ACF" w:rsidRPr="0063792C" w:rsidRDefault="00DC0ACF" w:rsidP="00DC0ACF">
      <w:pPr>
        <w:spacing w:after="240"/>
      </w:pPr>
      <w:r w:rsidRPr="0063792C">
        <w:rPr>
          <w:b/>
          <w:bCs/>
        </w:rPr>
        <w:t xml:space="preserve">TO </w:t>
      </w:r>
      <w:r>
        <w:rPr>
          <w:b/>
          <w:bCs/>
        </w:rPr>
        <w:t>E</w:t>
      </w:r>
      <w:r w:rsidRPr="0063792C">
        <w:rPr>
          <w:b/>
          <w:bCs/>
        </w:rPr>
        <w:t>NSURE COMPLIANCE WITH THE REQUIREMENTS IMPOSED BY THE INTERNAL REVENUE SERVICE, WE INFORM YOU THAT ANY TAX STATEMENT IN THIS FORM C CONCERNING UNITED STATES FEDERAL TAXES IS NOT INTENDED OR WRITTEN TO BE USED, AND CANNOT BE USED, BY ANY TAXPAYER FOR THE PURPOSE OF AVOIDING ANY TAX-RELATED PENALTIES UNDER THE UNITED STATES INTERNAL REVENUE CODE. ANY TAX STATEMENT HEREIN CONCERNING UNITED STATES FEDERAL TAXES WAS WRITTEN IN CONNECTION WITH THE MARKETING OR PROMOTION OF THE TRANSACTIONS OR MATTERS TO WHICH THE STATEMENT RELATES. EACH TAXPAYER SHOULD SEEK ADVICE BASED ON THE TAXPAYER’S PARTICULAR CIRCUMSTANCES FROM AN INDEPENDENT TAX ADVISOR.</w:t>
      </w:r>
    </w:p>
    <w:p w14:paraId="2A9E7373" w14:textId="0A5F6D1E" w:rsidR="00DC0ACF" w:rsidRPr="0063792C" w:rsidRDefault="00DC0ACF" w:rsidP="00DC0ACF">
      <w:pPr>
        <w:spacing w:after="240"/>
      </w:pPr>
      <w:r w:rsidRPr="0063792C">
        <w:rPr>
          <w:b/>
          <w:bCs/>
        </w:rPr>
        <w:t xml:space="preserve">Potential Investors who are not United States residents are urged to consult their tax advisors regarding the United States federal income tax implications of any investment in the </w:t>
      </w:r>
      <w:r w:rsidR="00450620">
        <w:rPr>
          <w:b/>
          <w:bCs/>
        </w:rPr>
        <w:t>Issuer</w:t>
      </w:r>
      <w:r w:rsidRPr="0063792C">
        <w:rPr>
          <w:b/>
          <w:bCs/>
        </w:rPr>
        <w:t xml:space="preserve">, as well as the taxation of such investment by their country of residence. Furthermore, it should be anticipated that distributions from the </w:t>
      </w:r>
      <w:r w:rsidR="00450620">
        <w:rPr>
          <w:b/>
          <w:bCs/>
        </w:rPr>
        <w:t>Issuer</w:t>
      </w:r>
      <w:r w:rsidRPr="0063792C">
        <w:rPr>
          <w:b/>
          <w:bCs/>
        </w:rPr>
        <w:t xml:space="preserve"> to such foreign investors may be subject to United States withholding tax.</w:t>
      </w:r>
    </w:p>
    <w:p w14:paraId="1BBFD5A7" w14:textId="77777777" w:rsidR="00DC0ACF" w:rsidRPr="0063792C" w:rsidRDefault="00DC0ACF" w:rsidP="00DC0ACF">
      <w:pPr>
        <w:spacing w:after="240"/>
      </w:pPr>
      <w:r w:rsidRPr="0063792C">
        <w:rPr>
          <w:b/>
          <w:bCs/>
        </w:rPr>
        <w:t xml:space="preserve">EACH POTENTIAL INVESTOR SHOULD CONSULT </w:t>
      </w:r>
      <w:r>
        <w:rPr>
          <w:b/>
          <w:bCs/>
        </w:rPr>
        <w:t>THEIR</w:t>
      </w:r>
      <w:r w:rsidRPr="0063792C">
        <w:rPr>
          <w:b/>
          <w:bCs/>
        </w:rPr>
        <w:t xml:space="preserve"> OWN TAX ADVISOR CONCERNING THE POSSIBLE IMPACT OF STATE TAXES.</w:t>
      </w:r>
    </w:p>
    <w:p w14:paraId="68DEBA78" w14:textId="77777777" w:rsidR="000C4551" w:rsidRDefault="000C4551">
      <w:pPr>
        <w:jc w:val="left"/>
        <w:rPr>
          <w:b/>
        </w:rPr>
      </w:pPr>
      <w:bookmarkStart w:id="61" w:name="_Toc103593672"/>
      <w:r>
        <w:br w:type="page"/>
      </w:r>
    </w:p>
    <w:p w14:paraId="29741719" w14:textId="44937AE7" w:rsidR="00DC0ACF" w:rsidRPr="0063792C" w:rsidRDefault="00DC0ACF" w:rsidP="00DC0ACF">
      <w:pPr>
        <w:pStyle w:val="Heading1"/>
        <w:jc w:val="center"/>
      </w:pPr>
      <w:r w:rsidRPr="0063792C">
        <w:lastRenderedPageBreak/>
        <w:t>LEGAL MATTERS</w:t>
      </w:r>
      <w:bookmarkEnd w:id="61"/>
    </w:p>
    <w:p w14:paraId="65A6F318" w14:textId="77777777" w:rsidR="00DC0ACF" w:rsidRPr="0063792C" w:rsidRDefault="00DC0ACF" w:rsidP="00DC0ACF">
      <w:pPr>
        <w:rPr>
          <w:b/>
          <w:iCs/>
        </w:rPr>
      </w:pPr>
    </w:p>
    <w:p w14:paraId="50C8D7D4" w14:textId="77777777" w:rsidR="00DC0ACF" w:rsidRDefault="00DC0ACF" w:rsidP="00DC0ACF">
      <w:pPr>
        <w:pStyle w:val="BodyTextItalics"/>
        <w:widowControl/>
        <w:adjustRightInd/>
        <w:spacing w:after="0" w:line="240" w:lineRule="auto"/>
        <w:ind w:firstLine="0"/>
        <w:rPr>
          <w:i w:val="0"/>
        </w:rPr>
      </w:pPr>
      <w:r w:rsidRPr="0063792C">
        <w:rPr>
          <w:i w:val="0"/>
        </w:rPr>
        <w:t>Any Investor should consult with its own counsel and advisors in evaluating an investment in the Offering</w:t>
      </w:r>
      <w:r>
        <w:rPr>
          <w:i w:val="0"/>
        </w:rPr>
        <w:t xml:space="preserve"> and conduct independent due diligence</w:t>
      </w:r>
      <w:r w:rsidRPr="0063792C">
        <w:rPr>
          <w:i w:val="0"/>
        </w:rPr>
        <w:t>.</w:t>
      </w:r>
    </w:p>
    <w:p w14:paraId="3F085898" w14:textId="77777777" w:rsidR="00DC0ACF" w:rsidRDefault="00DC0ACF" w:rsidP="00DC0ACF"/>
    <w:p w14:paraId="3E3B959D" w14:textId="68872234" w:rsidR="00DC0ACF" w:rsidRPr="00BD59DC" w:rsidRDefault="00DC0ACF" w:rsidP="00DC0ACF">
      <w:pPr>
        <w:rPr>
          <w:b/>
          <w:bCs/>
        </w:rPr>
      </w:pPr>
      <w:r w:rsidRPr="00BD59DC">
        <w:rPr>
          <w:b/>
          <w:bCs/>
        </w:rPr>
        <w:t xml:space="preserve">The </w:t>
      </w:r>
      <w:r w:rsidR="00450620">
        <w:rPr>
          <w:b/>
          <w:bCs/>
        </w:rPr>
        <w:t>Issuer</w:t>
      </w:r>
      <w:r w:rsidRPr="00BD59DC">
        <w:rPr>
          <w:b/>
          <w:bCs/>
        </w:rPr>
        <w:t xml:space="preserve"> has certified that all of the following statements are TRUE for the </w:t>
      </w:r>
      <w:r w:rsidR="00450620">
        <w:rPr>
          <w:b/>
          <w:bCs/>
        </w:rPr>
        <w:t>Issuer</w:t>
      </w:r>
      <w:r w:rsidRPr="00BD59DC">
        <w:rPr>
          <w:b/>
          <w:bCs/>
        </w:rPr>
        <w:t xml:space="preserve"> in connection with this Offering:</w:t>
      </w:r>
    </w:p>
    <w:p w14:paraId="0EE76C13" w14:textId="77777777" w:rsidR="00DC0ACF" w:rsidRPr="0063792C" w:rsidRDefault="00DC0ACF" w:rsidP="00DC0ACF"/>
    <w:p w14:paraId="5F29C5AE" w14:textId="77777777" w:rsidR="00DC0ACF" w:rsidRPr="0063792C" w:rsidRDefault="00DC0ACF" w:rsidP="00DC0ACF">
      <w:pPr>
        <w:numPr>
          <w:ilvl w:val="0"/>
          <w:numId w:val="19"/>
        </w:numPr>
      </w:pPr>
      <w:r w:rsidRPr="0063792C">
        <w:t>Is organized under, and subject to, the laws of a State or territory of the United States or the District of Columbia;</w:t>
      </w:r>
    </w:p>
    <w:p w14:paraId="60918790" w14:textId="77777777" w:rsidR="00DC0ACF" w:rsidRPr="0063792C" w:rsidRDefault="00DC0ACF" w:rsidP="00DC0ACF">
      <w:pPr>
        <w:numPr>
          <w:ilvl w:val="0"/>
          <w:numId w:val="19"/>
        </w:numPr>
        <w:spacing w:before="120"/>
      </w:pPr>
      <w:r w:rsidRPr="0063792C">
        <w:t>Is not subject to the requirement to file reports pursuant to Section 13 or Section 15(d) of the Securities Exchange Act of 1934 (the “</w:t>
      </w:r>
      <w:r w:rsidRPr="0063792C">
        <w:rPr>
          <w:b/>
          <w:bCs/>
        </w:rPr>
        <w:t>Exchange Act</w:t>
      </w:r>
      <w:r w:rsidRPr="0063792C">
        <w:t>”) (15 U.S.C. 78m or 78o(d));</w:t>
      </w:r>
    </w:p>
    <w:p w14:paraId="4A0A99F8" w14:textId="77777777" w:rsidR="00DC0ACF" w:rsidRPr="0063792C" w:rsidRDefault="00DC0ACF" w:rsidP="00DC0ACF">
      <w:pPr>
        <w:numPr>
          <w:ilvl w:val="0"/>
          <w:numId w:val="19"/>
        </w:numPr>
        <w:spacing w:before="120"/>
      </w:pPr>
      <w:r w:rsidRPr="0063792C">
        <w:t>Is not an investment company, as defined in Section 3 of the Investment Company Act of 1940 (the “</w:t>
      </w:r>
      <w:r w:rsidRPr="0063792C">
        <w:rPr>
          <w:b/>
        </w:rPr>
        <w:t>Investment Company Act</w:t>
      </w:r>
      <w:r w:rsidRPr="0063792C">
        <w:t>”)(15 U.S.C. 80a-3), or excluded from the definition of investment company by Section 3(b) or Section 3(c) of the Investment Company Act (15 U.S.C. 80a-3(b) or 80a-3(c));</w:t>
      </w:r>
    </w:p>
    <w:p w14:paraId="13C1A633" w14:textId="77777777" w:rsidR="00DC0ACF" w:rsidRPr="0063792C" w:rsidRDefault="00DC0ACF" w:rsidP="00DC0ACF">
      <w:pPr>
        <w:numPr>
          <w:ilvl w:val="0"/>
          <w:numId w:val="19"/>
        </w:numPr>
        <w:spacing w:before="120"/>
      </w:pPr>
      <w:r w:rsidRPr="0063792C">
        <w:t>Is not ineligible to offer or sell securities in reliance on Section 4(a)(6) of the Securities Act of 1933 (the “</w:t>
      </w:r>
      <w:r>
        <w:rPr>
          <w:b/>
          <w:bCs/>
        </w:rPr>
        <w:t>Securities</w:t>
      </w:r>
      <w:r w:rsidRPr="0063792C">
        <w:rPr>
          <w:b/>
          <w:bCs/>
        </w:rPr>
        <w:t xml:space="preserve"> Act</w:t>
      </w:r>
      <w:r w:rsidRPr="0063792C">
        <w:t>”) (15 U.S.C. 77d(a)(6)) as a result of a disqualification as specified in § 227.503(a);</w:t>
      </w:r>
    </w:p>
    <w:p w14:paraId="0711A39C" w14:textId="77777777" w:rsidR="00DC0ACF" w:rsidRPr="0063792C" w:rsidRDefault="00DC0ACF" w:rsidP="00DC0ACF">
      <w:pPr>
        <w:numPr>
          <w:ilvl w:val="0"/>
          <w:numId w:val="19"/>
        </w:numPr>
        <w:spacing w:before="120"/>
      </w:pPr>
      <w:r w:rsidRPr="0063792C">
        <w:t>Has filed with the SEC and provided to investors, to the extent required, any ongoing annual reports required by law during the two years immediately preceding the filing of this Form C; and</w:t>
      </w:r>
    </w:p>
    <w:p w14:paraId="4ABE4A2C" w14:textId="77777777" w:rsidR="00DC0ACF" w:rsidRPr="0063792C" w:rsidRDefault="00DC0ACF" w:rsidP="00DC0ACF">
      <w:pPr>
        <w:numPr>
          <w:ilvl w:val="0"/>
          <w:numId w:val="19"/>
        </w:numPr>
        <w:spacing w:before="120"/>
      </w:pPr>
      <w:r w:rsidRPr="0063792C">
        <w:t>Has a specific business plan, which is not to engage in a merger or acquisition with an unidentified company or companies.</w:t>
      </w:r>
    </w:p>
    <w:p w14:paraId="01306429" w14:textId="77777777" w:rsidR="00DC0ACF" w:rsidRPr="0063792C" w:rsidRDefault="00DC0ACF" w:rsidP="00DC0ACF">
      <w:pPr>
        <w:rPr>
          <w:i/>
        </w:rPr>
      </w:pPr>
    </w:p>
    <w:p w14:paraId="387F3B22" w14:textId="77777777" w:rsidR="00DC0ACF" w:rsidRPr="0063792C" w:rsidRDefault="00DC0ACF" w:rsidP="00DC0ACF">
      <w:pPr>
        <w:rPr>
          <w:b/>
        </w:rPr>
      </w:pPr>
      <w:r w:rsidRPr="0063792C">
        <w:rPr>
          <w:b/>
        </w:rPr>
        <w:t>Bad Actor Disclosure</w:t>
      </w:r>
    </w:p>
    <w:p w14:paraId="040C50B6" w14:textId="77777777" w:rsidR="00DC0ACF" w:rsidRPr="0063792C" w:rsidRDefault="00DC0ACF" w:rsidP="00DC0ACF">
      <w:pPr>
        <w:rPr>
          <w:b/>
        </w:rPr>
      </w:pPr>
    </w:p>
    <w:p w14:paraId="67810E63" w14:textId="3BF99B22" w:rsidR="00DC0ACF" w:rsidRDefault="00DC0ACF" w:rsidP="00DC0ACF">
      <w:r w:rsidRPr="0063792C">
        <w:t xml:space="preserve">The </w:t>
      </w:r>
      <w:r w:rsidR="00450620">
        <w:t>Issuer</w:t>
      </w:r>
      <w:r w:rsidRPr="0063792C">
        <w:t xml:space="preserve"> is not subject to any bad actor disqualifications under any relevant U.S. securities laws.</w:t>
      </w:r>
    </w:p>
    <w:p w14:paraId="75E550DC" w14:textId="0164A8F4" w:rsidR="00D0194F" w:rsidRDefault="00D0194F" w:rsidP="00DC0ACF"/>
    <w:p w14:paraId="0DB23797" w14:textId="1CA1557A" w:rsidR="00D0194F" w:rsidRPr="0063792C" w:rsidRDefault="00D0194F" w:rsidP="00DC0ACF">
      <w:pPr>
        <w:rPr>
          <w:i/>
        </w:rPr>
      </w:pPr>
      <w:r>
        <w:t xml:space="preserve">The </w:t>
      </w:r>
      <w:r w:rsidR="00450620">
        <w:t>Issuer</w:t>
      </w:r>
      <w:r>
        <w:t xml:space="preserve"> is not subject to any matters that would have triggered disqualification but occurred prior to May 16, 2016.</w:t>
      </w:r>
      <w:r w:rsidR="002C31F9">
        <w:t xml:space="preserve">  </w:t>
      </w:r>
    </w:p>
    <w:p w14:paraId="5D11D59D" w14:textId="77777777" w:rsidR="00DC0ACF" w:rsidRPr="0063792C" w:rsidRDefault="00DC0ACF" w:rsidP="00DC0ACF">
      <w:pPr>
        <w:rPr>
          <w:i/>
        </w:rPr>
      </w:pPr>
    </w:p>
    <w:p w14:paraId="103CC639" w14:textId="390772A8" w:rsidR="00DC0ACF" w:rsidRPr="0063792C" w:rsidRDefault="00DC0ACF" w:rsidP="00DC0ACF">
      <w:pPr>
        <w:rPr>
          <w:b/>
        </w:rPr>
      </w:pPr>
      <w:r w:rsidRPr="0063792C">
        <w:rPr>
          <w:b/>
        </w:rPr>
        <w:t>Ongoing Reporting</w:t>
      </w:r>
    </w:p>
    <w:p w14:paraId="068D388D" w14:textId="77777777" w:rsidR="00DC0ACF" w:rsidRPr="0063792C" w:rsidRDefault="00DC0ACF" w:rsidP="00DC0ACF"/>
    <w:p w14:paraId="72BF2368" w14:textId="11BB5A5F" w:rsidR="00DC0ACF" w:rsidRPr="0063792C" w:rsidRDefault="00DC0ACF" w:rsidP="00DC0ACF">
      <w:r w:rsidRPr="0063792C">
        <w:t xml:space="preserve">Following the first sale of the Securities, the </w:t>
      </w:r>
      <w:r w:rsidR="00450620">
        <w:t>Issuer</w:t>
      </w:r>
      <w:r w:rsidRPr="0063792C">
        <w:t xml:space="preserve"> will file a report electronically with the Securities </w:t>
      </w:r>
      <w:r w:rsidR="001E4909">
        <w:t>and</w:t>
      </w:r>
      <w:r w:rsidRPr="0063792C">
        <w:t xml:space="preserve"> Exchange Commission annually and post the report on its website, no later than 120 days after the end of the </w:t>
      </w:r>
      <w:r w:rsidR="00450620">
        <w:t>Issuer</w:t>
      </w:r>
      <w:r w:rsidRPr="0063792C">
        <w:t>’s fiscal year.</w:t>
      </w:r>
    </w:p>
    <w:p w14:paraId="29BE30BD" w14:textId="77777777" w:rsidR="00DC0ACF" w:rsidRPr="0063792C" w:rsidRDefault="00DC0ACF" w:rsidP="00DC0ACF"/>
    <w:p w14:paraId="00608221" w14:textId="385BB50F" w:rsidR="00DC0ACF" w:rsidRPr="0063792C" w:rsidRDefault="00DC0ACF" w:rsidP="00DC0ACF">
      <w:r w:rsidRPr="0063792C">
        <w:t xml:space="preserve">Once posted, the annual report may be found on the </w:t>
      </w:r>
      <w:r w:rsidR="00450620">
        <w:t>Issuer</w:t>
      </w:r>
      <w:r w:rsidRPr="0063792C">
        <w:t xml:space="preserve">’s website at </w:t>
      </w:r>
      <w:hyperlink r:id="rId14">
        <w:r w:rsidR="00E96418">
          <w:rPr>
            <w:color w:val="1155CC"/>
            <w:u w:val="single"/>
          </w:rPr>
          <w:t>https://startglobal.co/</w:t>
        </w:r>
      </w:hyperlink>
      <w:r w:rsidR="00E96418">
        <w:rPr>
          <w:color w:val="1155CC"/>
          <w:u w:val="single"/>
        </w:rPr>
        <w:t>.</w:t>
      </w:r>
    </w:p>
    <w:p w14:paraId="116CD9B3" w14:textId="77777777" w:rsidR="00DC0ACF" w:rsidRPr="0063792C" w:rsidRDefault="00DC0ACF" w:rsidP="00DC0ACF"/>
    <w:p w14:paraId="17E853DD" w14:textId="00F71A86" w:rsidR="00DC0ACF" w:rsidRPr="0063792C" w:rsidRDefault="00DC0ACF" w:rsidP="00DC0ACF">
      <w:pPr>
        <w:spacing w:after="120"/>
      </w:pPr>
      <w:r w:rsidRPr="0063792C">
        <w:t xml:space="preserve">The </w:t>
      </w:r>
      <w:r w:rsidR="00450620">
        <w:t>Issuer</w:t>
      </w:r>
      <w:r w:rsidRPr="0063792C">
        <w:t xml:space="preserve"> must continue to comply with the ongoing reporting requirements until:</w:t>
      </w:r>
    </w:p>
    <w:p w14:paraId="46E61118" w14:textId="311D016D" w:rsidR="00DC0ACF" w:rsidRPr="0063792C" w:rsidRDefault="00DC0ACF" w:rsidP="00DC0ACF">
      <w:pPr>
        <w:numPr>
          <w:ilvl w:val="0"/>
          <w:numId w:val="5"/>
        </w:numPr>
        <w:spacing w:after="120"/>
      </w:pPr>
      <w:r w:rsidRPr="0063792C">
        <w:t xml:space="preserve">the </w:t>
      </w:r>
      <w:r w:rsidR="00450620">
        <w:t>Issuer</w:t>
      </w:r>
      <w:r w:rsidRPr="0063792C">
        <w:t xml:space="preserve"> is required to file reports under Section 13(a) or Section 15(d) of the Exchange Act;</w:t>
      </w:r>
    </w:p>
    <w:p w14:paraId="032AA084" w14:textId="687C723D" w:rsidR="00DC0ACF" w:rsidRPr="0063792C" w:rsidRDefault="00DC0ACF" w:rsidP="00DC0ACF">
      <w:pPr>
        <w:numPr>
          <w:ilvl w:val="0"/>
          <w:numId w:val="5"/>
        </w:numPr>
        <w:spacing w:after="120"/>
      </w:pPr>
      <w:r w:rsidRPr="0063792C">
        <w:t xml:space="preserve">the </w:t>
      </w:r>
      <w:r w:rsidR="00450620">
        <w:t>Issuer</w:t>
      </w:r>
      <w:r w:rsidRPr="0063792C">
        <w:t xml:space="preserve"> has filed at least three annual reports pursuant to Regulation CF and has total assets that do not exceed $10,000,000;</w:t>
      </w:r>
    </w:p>
    <w:p w14:paraId="155CA8FE" w14:textId="00010FB6" w:rsidR="00DC0ACF" w:rsidRPr="0063792C" w:rsidRDefault="00DC0ACF" w:rsidP="00DC0ACF">
      <w:pPr>
        <w:numPr>
          <w:ilvl w:val="0"/>
          <w:numId w:val="5"/>
        </w:numPr>
        <w:spacing w:after="120"/>
      </w:pPr>
      <w:r w:rsidRPr="0063792C">
        <w:t xml:space="preserve">the </w:t>
      </w:r>
      <w:r w:rsidR="00450620">
        <w:t>Issuer</w:t>
      </w:r>
      <w:r w:rsidRPr="0063792C">
        <w:t xml:space="preserve"> has filed at least one annual report pursuant to Regulation CF and has fewer than 300 holders of record;</w:t>
      </w:r>
    </w:p>
    <w:p w14:paraId="1ECBE53B" w14:textId="61C6120C" w:rsidR="00DC0ACF" w:rsidRPr="0063792C" w:rsidRDefault="00DC0ACF" w:rsidP="00DC0ACF">
      <w:pPr>
        <w:numPr>
          <w:ilvl w:val="0"/>
          <w:numId w:val="5"/>
        </w:numPr>
        <w:spacing w:after="120"/>
      </w:pPr>
      <w:r w:rsidRPr="0063792C">
        <w:t xml:space="preserve">the </w:t>
      </w:r>
      <w:r w:rsidR="00450620">
        <w:t>Issuer</w:t>
      </w:r>
      <w:r w:rsidRPr="0063792C">
        <w:t xml:space="preserve"> or another party repurchases all of the Securities issued in reliance on Section 4(a)(6) of the </w:t>
      </w:r>
      <w:r>
        <w:t>Securities</w:t>
      </w:r>
      <w:r w:rsidRPr="0063792C">
        <w:t xml:space="preserve"> Act, including any payment in full of debt securities or any complete redemption of redeemable securities; or</w:t>
      </w:r>
    </w:p>
    <w:p w14:paraId="0F25C175" w14:textId="09C4C71C" w:rsidR="00DC0ACF" w:rsidRPr="0063792C" w:rsidRDefault="00DC0ACF" w:rsidP="00DC0ACF">
      <w:pPr>
        <w:numPr>
          <w:ilvl w:val="0"/>
          <w:numId w:val="5"/>
        </w:numPr>
      </w:pPr>
      <w:r w:rsidRPr="0063792C">
        <w:t xml:space="preserve">the </w:t>
      </w:r>
      <w:r w:rsidR="00450620">
        <w:t>Issuer</w:t>
      </w:r>
      <w:r w:rsidRPr="0063792C">
        <w:t xml:space="preserve"> liquidates or dissolves its business in accordance with applicable state law.</w:t>
      </w:r>
    </w:p>
    <w:p w14:paraId="367B61BF" w14:textId="77777777" w:rsidR="00DC0ACF" w:rsidRPr="0063792C" w:rsidRDefault="00DC0ACF" w:rsidP="00DC0ACF"/>
    <w:p w14:paraId="3661B7BA" w14:textId="5C33D32D" w:rsidR="00DC0ACF" w:rsidRPr="0063792C" w:rsidRDefault="00DC0ACF" w:rsidP="00DC0ACF">
      <w:r w:rsidRPr="0063792C">
        <w:t xml:space="preserve">Neither the </w:t>
      </w:r>
      <w:r w:rsidR="00450620">
        <w:t>Issuer</w:t>
      </w:r>
      <w:r w:rsidRPr="0063792C">
        <w:t xml:space="preserve"> nor any of its predecessors (if any) previously failed to comply with the ongoing reporting requirement of Regulation CF.</w:t>
      </w:r>
    </w:p>
    <w:p w14:paraId="5DD21E27" w14:textId="77777777" w:rsidR="00DC0ACF" w:rsidRPr="0063792C" w:rsidRDefault="00DC0ACF" w:rsidP="00DC0ACF"/>
    <w:p w14:paraId="1E37E031" w14:textId="77777777" w:rsidR="000C4551" w:rsidRDefault="000C4551">
      <w:pPr>
        <w:jc w:val="left"/>
        <w:rPr>
          <w:rFonts w:eastAsia="Times"/>
          <w:b/>
        </w:rPr>
      </w:pPr>
      <w:bookmarkStart w:id="62" w:name="_Toc103593674"/>
      <w:r>
        <w:rPr>
          <w:rFonts w:eastAsia="Times"/>
        </w:rPr>
        <w:br w:type="page"/>
      </w:r>
    </w:p>
    <w:p w14:paraId="60DBB839" w14:textId="53BD3F72" w:rsidR="00DC0ACF" w:rsidRPr="0063792C" w:rsidRDefault="00DC0ACF" w:rsidP="00DC0ACF">
      <w:pPr>
        <w:pStyle w:val="Heading1"/>
        <w:jc w:val="center"/>
        <w:rPr>
          <w:rFonts w:eastAsia="Times"/>
        </w:rPr>
      </w:pPr>
      <w:r w:rsidRPr="0063792C">
        <w:rPr>
          <w:rFonts w:eastAsia="Times"/>
        </w:rPr>
        <w:lastRenderedPageBreak/>
        <w:t>ADDITIONAL INFORMATION</w:t>
      </w:r>
      <w:bookmarkEnd w:id="62"/>
    </w:p>
    <w:p w14:paraId="68375EC9" w14:textId="77777777" w:rsidR="00DC0ACF" w:rsidRPr="0063792C" w:rsidRDefault="00DC0ACF" w:rsidP="00DC0ACF">
      <w:pPr>
        <w:rPr>
          <w:rFonts w:eastAsia="Calibri"/>
          <w:iCs/>
        </w:rPr>
      </w:pPr>
    </w:p>
    <w:p w14:paraId="2F3C3D6E" w14:textId="77777777" w:rsidR="00DC0ACF" w:rsidRPr="0063792C" w:rsidRDefault="00DC0ACF" w:rsidP="00DC0ACF">
      <w:pPr>
        <w:rPr>
          <w:rFonts w:eastAsia="Times"/>
          <w:color w:val="000000"/>
        </w:rPr>
      </w:pPr>
      <w:r w:rsidRPr="0063792C">
        <w:rPr>
          <w:rFonts w:eastAsia="Times"/>
          <w:color w:val="000000"/>
        </w:rPr>
        <w:t xml:space="preserve">The summaries of, and references to, various documents in this Form C do not purport to be complete and in each instance reference should be made to the copy of such document which is either an appendix to this Form C or which will be made available to </w:t>
      </w:r>
      <w:r w:rsidRPr="0063792C">
        <w:rPr>
          <w:rFonts w:eastAsia="Times"/>
        </w:rPr>
        <w:t xml:space="preserve">Investors </w:t>
      </w:r>
      <w:r w:rsidRPr="0063792C">
        <w:rPr>
          <w:rFonts w:eastAsia="Times"/>
          <w:color w:val="000000"/>
        </w:rPr>
        <w:t>and their professional advisors upon request.</w:t>
      </w:r>
    </w:p>
    <w:p w14:paraId="350D7AD4" w14:textId="77777777" w:rsidR="00DC0ACF" w:rsidRPr="0063792C" w:rsidRDefault="00DC0ACF" w:rsidP="00DC0ACF">
      <w:pPr>
        <w:rPr>
          <w:rFonts w:eastAsia="Times"/>
          <w:color w:val="000000"/>
        </w:rPr>
      </w:pPr>
    </w:p>
    <w:p w14:paraId="612DF6FF" w14:textId="6B4541E6" w:rsidR="00DC0ACF" w:rsidRPr="0063792C" w:rsidRDefault="00DC0ACF" w:rsidP="00DC0ACF">
      <w:r w:rsidRPr="0063792C">
        <w:rPr>
          <w:rFonts w:eastAsia="Times"/>
          <w:color w:val="000000"/>
        </w:rPr>
        <w:t xml:space="preserve">Prior to making an investment decision regarding the Securities described herein, prospective </w:t>
      </w:r>
      <w:r w:rsidRPr="0063792C">
        <w:rPr>
          <w:rFonts w:eastAsia="Times"/>
        </w:rPr>
        <w:t xml:space="preserve">Investors </w:t>
      </w:r>
      <w:r w:rsidRPr="0063792C">
        <w:rPr>
          <w:rFonts w:eastAsia="Times"/>
          <w:color w:val="000000"/>
        </w:rPr>
        <w:t xml:space="preserve">should carefully review and consider this entire Form C. The </w:t>
      </w:r>
      <w:r w:rsidR="00450620">
        <w:t>Issuer</w:t>
      </w:r>
      <w:r w:rsidRPr="0063792C">
        <w:rPr>
          <w:rFonts w:eastAsia="Times"/>
          <w:color w:val="000000"/>
        </w:rPr>
        <w:t xml:space="preserve"> is prepared to furnish, upon request, a copy of the forms of any documents referenced in this Form C. The </w:t>
      </w:r>
      <w:r w:rsidR="00450620">
        <w:t>Issuer</w:t>
      </w:r>
      <w:r w:rsidRPr="0063792C">
        <w:rPr>
          <w:rFonts w:eastAsia="Times"/>
          <w:color w:val="000000"/>
        </w:rPr>
        <w:t xml:space="preserve">’s representatives will be available to discuss with prospective </w:t>
      </w:r>
      <w:r w:rsidRPr="0063792C">
        <w:rPr>
          <w:rFonts w:eastAsia="Times"/>
        </w:rPr>
        <w:t xml:space="preserve">Investors </w:t>
      </w:r>
      <w:r w:rsidRPr="0063792C">
        <w:rPr>
          <w:rFonts w:eastAsia="Times"/>
          <w:color w:val="000000"/>
        </w:rPr>
        <w:t xml:space="preserve">and their representatives and advisors, if any, any matter set forth in this Form C or any other matter relating to the Securities described in this Form C, so that prospective </w:t>
      </w:r>
      <w:r w:rsidRPr="0063792C">
        <w:rPr>
          <w:rFonts w:eastAsia="Times"/>
        </w:rPr>
        <w:t xml:space="preserve">Investors </w:t>
      </w:r>
      <w:r w:rsidRPr="0063792C">
        <w:rPr>
          <w:rFonts w:eastAsia="Times"/>
          <w:color w:val="000000"/>
        </w:rPr>
        <w:t xml:space="preserve">and their representatives and advisors, if any, may have available to them all information, financial and otherwise, necessary to formulate a well-informed investment decision. Additional information and materials concerning the </w:t>
      </w:r>
      <w:r w:rsidR="00450620">
        <w:t>Issuer</w:t>
      </w:r>
      <w:r w:rsidRPr="0063792C">
        <w:rPr>
          <w:rFonts w:eastAsia="Times"/>
          <w:color w:val="000000"/>
        </w:rPr>
        <w:t xml:space="preserve"> will be made available to prospective </w:t>
      </w:r>
      <w:r w:rsidRPr="0063792C">
        <w:rPr>
          <w:rFonts w:eastAsia="Times"/>
        </w:rPr>
        <w:t xml:space="preserve">Investors </w:t>
      </w:r>
      <w:r w:rsidRPr="0063792C">
        <w:rPr>
          <w:rFonts w:eastAsia="Times"/>
          <w:color w:val="000000"/>
        </w:rPr>
        <w:t>and their representatives and advisors, if any, at a mutually convenient location upon reasonable request.</w:t>
      </w:r>
    </w:p>
    <w:p w14:paraId="3B6988A0" w14:textId="77777777" w:rsidR="00DC0ACF" w:rsidRPr="0063792C" w:rsidRDefault="00DC0ACF" w:rsidP="00DC0ACF"/>
    <w:p w14:paraId="5AAB42DB" w14:textId="77777777" w:rsidR="00DC0ACF" w:rsidRPr="0063792C" w:rsidRDefault="00DC0ACF" w:rsidP="00DC0ACF">
      <w:pPr>
        <w:pStyle w:val="Heading1"/>
      </w:pPr>
    </w:p>
    <w:p w14:paraId="7730B880" w14:textId="77777777" w:rsidR="00DC0ACF" w:rsidRPr="0063792C" w:rsidRDefault="00DC0ACF" w:rsidP="00DC0ACF">
      <w:pPr>
        <w:tabs>
          <w:tab w:val="left" w:pos="3120"/>
          <w:tab w:val="left" w:pos="3600"/>
        </w:tabs>
        <w:spacing w:after="240"/>
        <w:sectPr w:rsidR="00DC0ACF" w:rsidRPr="0063792C" w:rsidSect="004C3ED3">
          <w:footerReference w:type="first" r:id="rId15"/>
          <w:pgSz w:w="12240" w:h="15840"/>
          <w:pgMar w:top="720" w:right="1440" w:bottom="720" w:left="1440" w:header="708" w:footer="708" w:gutter="0"/>
          <w:pgNumType w:start="1"/>
          <w:cols w:space="720"/>
          <w:titlePg/>
          <w:docGrid w:linePitch="272"/>
        </w:sectPr>
      </w:pPr>
    </w:p>
    <w:p w14:paraId="23230AC0" w14:textId="77777777" w:rsidR="00DC0ACF" w:rsidRPr="0063792C" w:rsidRDefault="00DC0ACF" w:rsidP="00DC0ACF">
      <w:pPr>
        <w:tabs>
          <w:tab w:val="left" w:pos="3120"/>
          <w:tab w:val="left" w:pos="3600"/>
        </w:tabs>
        <w:spacing w:after="240"/>
      </w:pPr>
    </w:p>
    <w:p w14:paraId="12603228" w14:textId="77777777" w:rsidR="00DC0ACF" w:rsidRDefault="00DC0ACF" w:rsidP="00DC0ACF">
      <w:pPr>
        <w:jc w:val="center"/>
      </w:pPr>
      <w:r>
        <w:rPr>
          <w:b/>
        </w:rPr>
        <w:t>SIGNATURE</w:t>
      </w:r>
    </w:p>
    <w:p w14:paraId="0F70EA2C" w14:textId="77777777" w:rsidR="00DC0ACF" w:rsidRDefault="00DC0ACF" w:rsidP="00DC0ACF"/>
    <w:p w14:paraId="79D451F4" w14:textId="60526984" w:rsidR="00DC0ACF" w:rsidRDefault="00DC0ACF" w:rsidP="00DC0ACF">
      <w:pPr>
        <w:ind w:firstLine="720"/>
      </w:pPr>
      <w:r>
        <w:t xml:space="preserve">Pursuant to the requirements of Sections 4(a)(6) and 4A of the Securities Act of 1933 and Regulation Crowdfunding (§ 227.100 et seq.), the </w:t>
      </w:r>
      <w:r w:rsidR="00450620">
        <w:t>I</w:t>
      </w:r>
      <w:r>
        <w:t xml:space="preserve">ssuer certifies that it has reasonable grounds to believe that it meets all of the requirements for filing on Form C and has duly caused this Form </w:t>
      </w:r>
      <w:r w:rsidR="006944C5">
        <w:t xml:space="preserve">C </w:t>
      </w:r>
      <w:r>
        <w:t>to be signed on its behalf by the duly authorized undersigned.</w:t>
      </w:r>
    </w:p>
    <w:p w14:paraId="6158F1C7" w14:textId="02E12482" w:rsidR="00DC0ACF" w:rsidRDefault="00DC0ACF" w:rsidP="00DC0ACF"/>
    <w:p w14:paraId="12424926" w14:textId="77777777" w:rsidR="00450620" w:rsidRDefault="00450620" w:rsidP="00DC0ACF"/>
    <w:tbl>
      <w:tblPr>
        <w:tblW w:w="9360" w:type="dxa"/>
        <w:tblLayout w:type="fixed"/>
        <w:tblLook w:val="0000" w:firstRow="0" w:lastRow="0" w:firstColumn="0" w:lastColumn="0" w:noHBand="0" w:noVBand="0"/>
      </w:tblPr>
      <w:tblGrid>
        <w:gridCol w:w="4679"/>
        <w:gridCol w:w="4681"/>
      </w:tblGrid>
      <w:tr w:rsidR="00450620" w14:paraId="0B3AE85F" w14:textId="77777777" w:rsidTr="00E72FAB">
        <w:trPr>
          <w:trHeight w:val="260"/>
        </w:trPr>
        <w:tc>
          <w:tcPr>
            <w:tcW w:w="4679" w:type="dxa"/>
            <w:shd w:val="clear" w:color="auto" w:fill="auto"/>
          </w:tcPr>
          <w:p w14:paraId="28FCBCBB" w14:textId="77777777" w:rsidR="00450620" w:rsidRDefault="00450620" w:rsidP="00E72FAB"/>
          <w:p w14:paraId="7D5B237F" w14:textId="69CE4367" w:rsidR="00450620" w:rsidRDefault="00450620" w:rsidP="00E72FAB"/>
        </w:tc>
        <w:tc>
          <w:tcPr>
            <w:tcW w:w="4681" w:type="dxa"/>
            <w:shd w:val="clear" w:color="auto" w:fill="auto"/>
          </w:tcPr>
          <w:p w14:paraId="4E970F12" w14:textId="77777777" w:rsidR="00450620" w:rsidRDefault="00450620" w:rsidP="00E72FAB"/>
          <w:p w14:paraId="2C6DCC14" w14:textId="1C1BB20E" w:rsidR="00BE3080" w:rsidRDefault="00E96418" w:rsidP="00E72FAB">
            <w:r>
              <w:t>StartGlobal, Inc.</w:t>
            </w:r>
          </w:p>
        </w:tc>
      </w:tr>
      <w:tr w:rsidR="00450620" w14:paraId="3664DABC" w14:textId="77777777" w:rsidTr="00E72FAB">
        <w:trPr>
          <w:trHeight w:val="260"/>
        </w:trPr>
        <w:tc>
          <w:tcPr>
            <w:tcW w:w="4679" w:type="dxa"/>
            <w:shd w:val="clear" w:color="auto" w:fill="auto"/>
          </w:tcPr>
          <w:p w14:paraId="6DF13477" w14:textId="77777777" w:rsidR="00450620" w:rsidRDefault="00450620" w:rsidP="00E72FAB"/>
        </w:tc>
        <w:tc>
          <w:tcPr>
            <w:tcW w:w="4681" w:type="dxa"/>
            <w:shd w:val="clear" w:color="auto" w:fill="auto"/>
          </w:tcPr>
          <w:p w14:paraId="59769CA9" w14:textId="38153CBD" w:rsidR="00450620" w:rsidRDefault="00450620" w:rsidP="00E72FAB">
            <w:pPr>
              <w:pBdr>
                <w:top w:val="single" w:sz="4" w:space="2" w:color="000000"/>
              </w:pBdr>
            </w:pPr>
            <w:r>
              <w:t>(Issuer)</w:t>
            </w:r>
          </w:p>
        </w:tc>
      </w:tr>
      <w:tr w:rsidR="00450620" w14:paraId="4E469DD4" w14:textId="77777777" w:rsidTr="00E72FAB">
        <w:trPr>
          <w:trHeight w:val="260"/>
        </w:trPr>
        <w:tc>
          <w:tcPr>
            <w:tcW w:w="4679" w:type="dxa"/>
            <w:shd w:val="clear" w:color="auto" w:fill="auto"/>
          </w:tcPr>
          <w:p w14:paraId="562821E2" w14:textId="77777777" w:rsidR="00450620" w:rsidRDefault="00450620" w:rsidP="00E72FAB"/>
        </w:tc>
        <w:tc>
          <w:tcPr>
            <w:tcW w:w="4681" w:type="dxa"/>
            <w:shd w:val="clear" w:color="auto" w:fill="auto"/>
          </w:tcPr>
          <w:p w14:paraId="5CA8AECC" w14:textId="77777777" w:rsidR="00450620" w:rsidRDefault="00450620" w:rsidP="00E72FAB"/>
        </w:tc>
      </w:tr>
      <w:tr w:rsidR="00450620" w14:paraId="35F80232" w14:textId="77777777" w:rsidTr="00E72FAB">
        <w:trPr>
          <w:trHeight w:val="260"/>
        </w:trPr>
        <w:tc>
          <w:tcPr>
            <w:tcW w:w="4679" w:type="dxa"/>
            <w:shd w:val="clear" w:color="auto" w:fill="auto"/>
          </w:tcPr>
          <w:p w14:paraId="0621A011" w14:textId="77777777" w:rsidR="00450620" w:rsidRDefault="00450620" w:rsidP="00E72FAB"/>
        </w:tc>
        <w:tc>
          <w:tcPr>
            <w:tcW w:w="4681" w:type="dxa"/>
            <w:shd w:val="clear" w:color="auto" w:fill="auto"/>
          </w:tcPr>
          <w:p w14:paraId="53065BAE" w14:textId="16D6D131" w:rsidR="00450620" w:rsidRDefault="00450620" w:rsidP="00E72FAB">
            <w:r>
              <w:t>By:</w:t>
            </w:r>
            <w:r w:rsidR="00BE3080">
              <w:t>/s/</w:t>
            </w:r>
            <w:r>
              <w:t xml:space="preserve"> </w:t>
            </w:r>
            <w:r w:rsidR="00E96418">
              <w:t>Sanjay Nediyara</w:t>
            </w:r>
          </w:p>
        </w:tc>
      </w:tr>
      <w:tr w:rsidR="00450620" w14:paraId="0A18007C" w14:textId="77777777" w:rsidTr="00E72FAB">
        <w:trPr>
          <w:trHeight w:val="260"/>
        </w:trPr>
        <w:tc>
          <w:tcPr>
            <w:tcW w:w="4679" w:type="dxa"/>
            <w:shd w:val="clear" w:color="auto" w:fill="auto"/>
          </w:tcPr>
          <w:p w14:paraId="067905CB" w14:textId="77777777" w:rsidR="00450620" w:rsidRDefault="00450620" w:rsidP="00E72FAB"/>
        </w:tc>
        <w:tc>
          <w:tcPr>
            <w:tcW w:w="4681" w:type="dxa"/>
            <w:shd w:val="clear" w:color="auto" w:fill="auto"/>
          </w:tcPr>
          <w:p w14:paraId="6BDFF71D" w14:textId="5B89E8DD" w:rsidR="00450620" w:rsidRDefault="00450620" w:rsidP="00E72FAB">
            <w:pPr>
              <w:pBdr>
                <w:top w:val="single" w:sz="4" w:space="2" w:color="000000"/>
              </w:pBdr>
            </w:pPr>
            <w:r>
              <w:t>(Signature)</w:t>
            </w:r>
          </w:p>
        </w:tc>
      </w:tr>
      <w:tr w:rsidR="00450620" w14:paraId="05C895F7" w14:textId="77777777" w:rsidTr="00E72FAB">
        <w:trPr>
          <w:trHeight w:val="260"/>
        </w:trPr>
        <w:tc>
          <w:tcPr>
            <w:tcW w:w="4679" w:type="dxa"/>
            <w:shd w:val="clear" w:color="auto" w:fill="auto"/>
          </w:tcPr>
          <w:p w14:paraId="55D74CB8" w14:textId="77777777" w:rsidR="00450620" w:rsidRDefault="00450620" w:rsidP="00E72FAB"/>
        </w:tc>
        <w:tc>
          <w:tcPr>
            <w:tcW w:w="4681" w:type="dxa"/>
            <w:shd w:val="clear" w:color="auto" w:fill="auto"/>
          </w:tcPr>
          <w:p w14:paraId="3FA7071C" w14:textId="77777777" w:rsidR="00450620" w:rsidRDefault="00450620" w:rsidP="00E72FAB"/>
        </w:tc>
      </w:tr>
      <w:tr w:rsidR="00450620" w14:paraId="165F23E6" w14:textId="77777777" w:rsidTr="00E72FAB">
        <w:trPr>
          <w:trHeight w:val="260"/>
        </w:trPr>
        <w:tc>
          <w:tcPr>
            <w:tcW w:w="4679" w:type="dxa"/>
            <w:shd w:val="clear" w:color="auto" w:fill="auto"/>
          </w:tcPr>
          <w:p w14:paraId="7B2DE192" w14:textId="77777777" w:rsidR="00450620" w:rsidRDefault="00450620" w:rsidP="00E72FAB"/>
        </w:tc>
        <w:tc>
          <w:tcPr>
            <w:tcW w:w="4681" w:type="dxa"/>
            <w:shd w:val="clear" w:color="auto" w:fill="auto"/>
          </w:tcPr>
          <w:p w14:paraId="2A338AC3" w14:textId="47C48FD4" w:rsidR="00450620" w:rsidRDefault="00E96418" w:rsidP="00E72FAB">
            <w:r>
              <w:t>Sanjay Nediyara</w:t>
            </w:r>
          </w:p>
        </w:tc>
      </w:tr>
      <w:tr w:rsidR="00450620" w14:paraId="57D50594" w14:textId="77777777" w:rsidTr="00E72FAB">
        <w:trPr>
          <w:trHeight w:val="260"/>
        </w:trPr>
        <w:tc>
          <w:tcPr>
            <w:tcW w:w="4679" w:type="dxa"/>
            <w:shd w:val="clear" w:color="auto" w:fill="auto"/>
          </w:tcPr>
          <w:p w14:paraId="5AF0E5DA" w14:textId="77777777" w:rsidR="00450620" w:rsidRDefault="00450620" w:rsidP="00E72FAB"/>
        </w:tc>
        <w:tc>
          <w:tcPr>
            <w:tcW w:w="4681" w:type="dxa"/>
            <w:shd w:val="clear" w:color="auto" w:fill="auto"/>
          </w:tcPr>
          <w:p w14:paraId="66AEB7FB" w14:textId="6C38FB9C" w:rsidR="00450620" w:rsidRDefault="00450620" w:rsidP="00E72FAB">
            <w:pPr>
              <w:pBdr>
                <w:top w:val="single" w:sz="4" w:space="2" w:color="000000"/>
              </w:pBdr>
            </w:pPr>
            <w:r>
              <w:t>(Name)</w:t>
            </w:r>
          </w:p>
        </w:tc>
      </w:tr>
      <w:tr w:rsidR="00450620" w14:paraId="0A2A6AA5" w14:textId="77777777" w:rsidTr="00E72FAB">
        <w:trPr>
          <w:trHeight w:val="260"/>
        </w:trPr>
        <w:tc>
          <w:tcPr>
            <w:tcW w:w="4679" w:type="dxa"/>
            <w:shd w:val="clear" w:color="auto" w:fill="auto"/>
          </w:tcPr>
          <w:p w14:paraId="2243E01A" w14:textId="77777777" w:rsidR="00450620" w:rsidRDefault="00450620" w:rsidP="00E72FAB"/>
        </w:tc>
        <w:tc>
          <w:tcPr>
            <w:tcW w:w="4681" w:type="dxa"/>
            <w:shd w:val="clear" w:color="auto" w:fill="auto"/>
          </w:tcPr>
          <w:p w14:paraId="20F8F70D" w14:textId="77777777" w:rsidR="00450620" w:rsidRDefault="00450620" w:rsidP="00E72FAB"/>
        </w:tc>
      </w:tr>
      <w:tr w:rsidR="00450620" w14:paraId="45897325" w14:textId="77777777" w:rsidTr="00E72FAB">
        <w:trPr>
          <w:trHeight w:val="260"/>
        </w:trPr>
        <w:tc>
          <w:tcPr>
            <w:tcW w:w="4679" w:type="dxa"/>
            <w:shd w:val="clear" w:color="auto" w:fill="auto"/>
          </w:tcPr>
          <w:p w14:paraId="1849E2E8" w14:textId="77777777" w:rsidR="00450620" w:rsidRDefault="00450620" w:rsidP="00E72FAB"/>
        </w:tc>
        <w:tc>
          <w:tcPr>
            <w:tcW w:w="4681" w:type="dxa"/>
            <w:shd w:val="clear" w:color="auto" w:fill="auto"/>
          </w:tcPr>
          <w:p w14:paraId="6592A323" w14:textId="13C24EBF" w:rsidR="00450620" w:rsidRDefault="00E96418" w:rsidP="00E72FAB">
            <w:r>
              <w:t>Chief Executive Officer</w:t>
            </w:r>
          </w:p>
        </w:tc>
      </w:tr>
      <w:tr w:rsidR="00450620" w14:paraId="50A589B0" w14:textId="77777777" w:rsidTr="00E72FAB">
        <w:trPr>
          <w:trHeight w:val="260"/>
        </w:trPr>
        <w:tc>
          <w:tcPr>
            <w:tcW w:w="4679" w:type="dxa"/>
            <w:shd w:val="clear" w:color="auto" w:fill="auto"/>
          </w:tcPr>
          <w:p w14:paraId="45132ED4" w14:textId="77777777" w:rsidR="00450620" w:rsidRDefault="00450620" w:rsidP="00E72FAB"/>
        </w:tc>
        <w:tc>
          <w:tcPr>
            <w:tcW w:w="4681" w:type="dxa"/>
            <w:shd w:val="clear" w:color="auto" w:fill="auto"/>
          </w:tcPr>
          <w:p w14:paraId="0BF8536F" w14:textId="79E88F4C" w:rsidR="00450620" w:rsidRDefault="00450620" w:rsidP="00E72FAB">
            <w:pPr>
              <w:pBdr>
                <w:top w:val="single" w:sz="4" w:space="2" w:color="000000"/>
              </w:pBdr>
            </w:pPr>
            <w:r>
              <w:t>(Title)</w:t>
            </w:r>
          </w:p>
        </w:tc>
      </w:tr>
    </w:tbl>
    <w:p w14:paraId="799FFFE6" w14:textId="77777777" w:rsidR="00450620" w:rsidRDefault="00450620" w:rsidP="00450620"/>
    <w:p w14:paraId="7B02CD6E" w14:textId="77777777" w:rsidR="006944C5" w:rsidRDefault="006944C5" w:rsidP="006944C5"/>
    <w:p w14:paraId="358FF0AB" w14:textId="77777777" w:rsidR="006944C5" w:rsidRDefault="006944C5" w:rsidP="006944C5"/>
    <w:p w14:paraId="6E10A5C3" w14:textId="77777777" w:rsidR="006944C5" w:rsidRDefault="006944C5" w:rsidP="006944C5">
      <w:pPr>
        <w:ind w:firstLine="720"/>
        <w:rPr>
          <w:rFonts w:ascii="Times" w:eastAsia="Times" w:hAnsi="Times" w:cs="Times"/>
        </w:rPr>
      </w:pPr>
      <w:r>
        <w:t xml:space="preserve">Pursuant to the requirements of Sections 4(a)(6) and 4A of the Securities Act of 1933 and Regulation Crowdfunding (§ 227.100 et seq.), this Form C has been signed by the following persons in the capacities and on the dates indicated. </w:t>
      </w:r>
    </w:p>
    <w:p w14:paraId="0FB41B49" w14:textId="77777777" w:rsidR="006944C5" w:rsidRDefault="006944C5" w:rsidP="006944C5">
      <w:pPr>
        <w:ind w:firstLine="720"/>
      </w:pPr>
    </w:p>
    <w:p w14:paraId="0B87734C" w14:textId="77777777" w:rsidR="006944C5" w:rsidRDefault="006944C5" w:rsidP="006944C5"/>
    <w:tbl>
      <w:tblPr>
        <w:tblW w:w="9360" w:type="dxa"/>
        <w:tblLayout w:type="fixed"/>
        <w:tblLook w:val="0000" w:firstRow="0" w:lastRow="0" w:firstColumn="0" w:lastColumn="0" w:noHBand="0" w:noVBand="0"/>
      </w:tblPr>
      <w:tblGrid>
        <w:gridCol w:w="4679"/>
        <w:gridCol w:w="4681"/>
      </w:tblGrid>
      <w:tr w:rsidR="006944C5" w14:paraId="2B07F365" w14:textId="77777777" w:rsidTr="00525EE2">
        <w:trPr>
          <w:trHeight w:val="260"/>
        </w:trPr>
        <w:tc>
          <w:tcPr>
            <w:tcW w:w="4679" w:type="dxa"/>
            <w:shd w:val="clear" w:color="auto" w:fill="auto"/>
          </w:tcPr>
          <w:p w14:paraId="665EF1CA" w14:textId="77777777" w:rsidR="006944C5" w:rsidRDefault="006944C5" w:rsidP="00525EE2"/>
        </w:tc>
        <w:tc>
          <w:tcPr>
            <w:tcW w:w="4681" w:type="dxa"/>
            <w:shd w:val="clear" w:color="auto" w:fill="auto"/>
          </w:tcPr>
          <w:p w14:paraId="636EC1A6" w14:textId="5AEAFE9C" w:rsidR="006944C5" w:rsidRDefault="006944C5" w:rsidP="00525EE2">
            <w:r>
              <w:t>/s/</w:t>
            </w:r>
            <w:r w:rsidR="00E96418">
              <w:t xml:space="preserve"> Sanjay Nediyara</w:t>
            </w:r>
          </w:p>
        </w:tc>
      </w:tr>
      <w:tr w:rsidR="006944C5" w14:paraId="384A73EB" w14:textId="77777777" w:rsidTr="00525EE2">
        <w:trPr>
          <w:trHeight w:val="260"/>
        </w:trPr>
        <w:tc>
          <w:tcPr>
            <w:tcW w:w="4679" w:type="dxa"/>
            <w:shd w:val="clear" w:color="auto" w:fill="auto"/>
          </w:tcPr>
          <w:p w14:paraId="6B11275B" w14:textId="77777777" w:rsidR="006944C5" w:rsidRDefault="006944C5" w:rsidP="00525EE2"/>
        </w:tc>
        <w:tc>
          <w:tcPr>
            <w:tcW w:w="4681" w:type="dxa"/>
            <w:shd w:val="clear" w:color="auto" w:fill="auto"/>
          </w:tcPr>
          <w:p w14:paraId="0C1FBAB5" w14:textId="77777777" w:rsidR="006944C5" w:rsidRDefault="006944C5" w:rsidP="00525EE2">
            <w:pPr>
              <w:pBdr>
                <w:top w:val="single" w:sz="4" w:space="2" w:color="000000"/>
              </w:pBdr>
            </w:pPr>
            <w:r>
              <w:t>(Signature)</w:t>
            </w:r>
          </w:p>
        </w:tc>
      </w:tr>
      <w:tr w:rsidR="006944C5" w14:paraId="48C5B57F" w14:textId="77777777" w:rsidTr="00525EE2">
        <w:trPr>
          <w:trHeight w:val="260"/>
        </w:trPr>
        <w:tc>
          <w:tcPr>
            <w:tcW w:w="4679" w:type="dxa"/>
            <w:shd w:val="clear" w:color="auto" w:fill="auto"/>
          </w:tcPr>
          <w:p w14:paraId="1B4DC0C3" w14:textId="77777777" w:rsidR="006944C5" w:rsidRDefault="006944C5" w:rsidP="00525EE2"/>
        </w:tc>
        <w:tc>
          <w:tcPr>
            <w:tcW w:w="4681" w:type="dxa"/>
            <w:shd w:val="clear" w:color="auto" w:fill="auto"/>
          </w:tcPr>
          <w:p w14:paraId="10E8A9C5" w14:textId="77777777" w:rsidR="006944C5" w:rsidRDefault="006944C5" w:rsidP="00525EE2"/>
        </w:tc>
      </w:tr>
      <w:tr w:rsidR="006944C5" w14:paraId="74E0F947" w14:textId="77777777" w:rsidTr="00525EE2">
        <w:trPr>
          <w:trHeight w:val="260"/>
        </w:trPr>
        <w:tc>
          <w:tcPr>
            <w:tcW w:w="4679" w:type="dxa"/>
            <w:shd w:val="clear" w:color="auto" w:fill="auto"/>
          </w:tcPr>
          <w:p w14:paraId="63D09530" w14:textId="77777777" w:rsidR="006944C5" w:rsidRDefault="006944C5" w:rsidP="00525EE2"/>
        </w:tc>
        <w:tc>
          <w:tcPr>
            <w:tcW w:w="4681" w:type="dxa"/>
            <w:shd w:val="clear" w:color="auto" w:fill="auto"/>
          </w:tcPr>
          <w:p w14:paraId="53F83A4A" w14:textId="3A3A8FC5" w:rsidR="006944C5" w:rsidRDefault="00E96418" w:rsidP="00525EE2">
            <w:r>
              <w:t>Sanjay Nediyara</w:t>
            </w:r>
          </w:p>
        </w:tc>
      </w:tr>
      <w:tr w:rsidR="006944C5" w14:paraId="339E57BE" w14:textId="77777777" w:rsidTr="00525EE2">
        <w:trPr>
          <w:trHeight w:val="260"/>
        </w:trPr>
        <w:tc>
          <w:tcPr>
            <w:tcW w:w="4679" w:type="dxa"/>
            <w:shd w:val="clear" w:color="auto" w:fill="auto"/>
          </w:tcPr>
          <w:p w14:paraId="75C8152C" w14:textId="77777777" w:rsidR="006944C5" w:rsidRDefault="006944C5" w:rsidP="00525EE2"/>
        </w:tc>
        <w:tc>
          <w:tcPr>
            <w:tcW w:w="4681" w:type="dxa"/>
            <w:shd w:val="clear" w:color="auto" w:fill="auto"/>
          </w:tcPr>
          <w:p w14:paraId="17E126E8" w14:textId="77777777" w:rsidR="006944C5" w:rsidRDefault="006944C5" w:rsidP="00525EE2">
            <w:pPr>
              <w:pBdr>
                <w:top w:val="single" w:sz="4" w:space="2" w:color="000000"/>
              </w:pBdr>
            </w:pPr>
            <w:r>
              <w:t>(Name)</w:t>
            </w:r>
          </w:p>
        </w:tc>
      </w:tr>
      <w:tr w:rsidR="006944C5" w14:paraId="2D35590E" w14:textId="77777777" w:rsidTr="00525EE2">
        <w:trPr>
          <w:trHeight w:val="260"/>
        </w:trPr>
        <w:tc>
          <w:tcPr>
            <w:tcW w:w="4679" w:type="dxa"/>
            <w:shd w:val="clear" w:color="auto" w:fill="auto"/>
          </w:tcPr>
          <w:p w14:paraId="5C98D61C" w14:textId="77777777" w:rsidR="006944C5" w:rsidRDefault="006944C5" w:rsidP="00525EE2"/>
        </w:tc>
        <w:tc>
          <w:tcPr>
            <w:tcW w:w="4681" w:type="dxa"/>
            <w:shd w:val="clear" w:color="auto" w:fill="auto"/>
          </w:tcPr>
          <w:p w14:paraId="6E5AD1F3" w14:textId="77777777" w:rsidR="006944C5" w:rsidRDefault="006944C5" w:rsidP="00525EE2"/>
        </w:tc>
      </w:tr>
      <w:tr w:rsidR="006944C5" w14:paraId="08339D6A" w14:textId="77777777" w:rsidTr="00525EE2">
        <w:trPr>
          <w:trHeight w:val="260"/>
        </w:trPr>
        <w:tc>
          <w:tcPr>
            <w:tcW w:w="4679" w:type="dxa"/>
            <w:shd w:val="clear" w:color="auto" w:fill="auto"/>
          </w:tcPr>
          <w:p w14:paraId="72A638A3" w14:textId="77777777" w:rsidR="006944C5" w:rsidRDefault="006944C5" w:rsidP="00525EE2"/>
        </w:tc>
        <w:tc>
          <w:tcPr>
            <w:tcW w:w="4681" w:type="dxa"/>
            <w:shd w:val="clear" w:color="auto" w:fill="auto"/>
          </w:tcPr>
          <w:p w14:paraId="6DD7BB26" w14:textId="77777777" w:rsidR="006944C5" w:rsidRDefault="006944C5" w:rsidP="00525EE2">
            <w:r>
              <w:t>Director</w:t>
            </w:r>
          </w:p>
        </w:tc>
      </w:tr>
      <w:tr w:rsidR="006944C5" w14:paraId="719650CB" w14:textId="77777777" w:rsidTr="00525EE2">
        <w:trPr>
          <w:trHeight w:val="260"/>
        </w:trPr>
        <w:tc>
          <w:tcPr>
            <w:tcW w:w="4679" w:type="dxa"/>
            <w:shd w:val="clear" w:color="auto" w:fill="auto"/>
          </w:tcPr>
          <w:p w14:paraId="3F2AA1AE" w14:textId="77777777" w:rsidR="006944C5" w:rsidRDefault="006944C5" w:rsidP="00525EE2"/>
        </w:tc>
        <w:tc>
          <w:tcPr>
            <w:tcW w:w="4681" w:type="dxa"/>
            <w:shd w:val="clear" w:color="auto" w:fill="auto"/>
          </w:tcPr>
          <w:p w14:paraId="61897690" w14:textId="77777777" w:rsidR="006944C5" w:rsidRDefault="006944C5" w:rsidP="00525EE2">
            <w:pPr>
              <w:pBdr>
                <w:top w:val="single" w:sz="4" w:space="2" w:color="000000"/>
              </w:pBdr>
            </w:pPr>
            <w:r>
              <w:t>(Title)</w:t>
            </w:r>
          </w:p>
        </w:tc>
      </w:tr>
      <w:tr w:rsidR="006944C5" w14:paraId="5E3B9CEF" w14:textId="77777777" w:rsidTr="00525EE2">
        <w:trPr>
          <w:trHeight w:val="260"/>
        </w:trPr>
        <w:tc>
          <w:tcPr>
            <w:tcW w:w="4679" w:type="dxa"/>
            <w:shd w:val="clear" w:color="auto" w:fill="auto"/>
          </w:tcPr>
          <w:p w14:paraId="2EA67DD3" w14:textId="77777777" w:rsidR="006944C5" w:rsidRDefault="006944C5" w:rsidP="00525EE2"/>
        </w:tc>
        <w:tc>
          <w:tcPr>
            <w:tcW w:w="4681" w:type="dxa"/>
            <w:shd w:val="clear" w:color="auto" w:fill="auto"/>
          </w:tcPr>
          <w:p w14:paraId="4435C7B7" w14:textId="77777777" w:rsidR="006944C5" w:rsidRDefault="006944C5" w:rsidP="00525EE2"/>
        </w:tc>
      </w:tr>
      <w:tr w:rsidR="006944C5" w14:paraId="54A9B1A1" w14:textId="77777777" w:rsidTr="00525EE2">
        <w:trPr>
          <w:trHeight w:val="260"/>
        </w:trPr>
        <w:tc>
          <w:tcPr>
            <w:tcW w:w="4679" w:type="dxa"/>
            <w:shd w:val="clear" w:color="auto" w:fill="auto"/>
          </w:tcPr>
          <w:p w14:paraId="3000546B" w14:textId="77777777" w:rsidR="006944C5" w:rsidRDefault="006944C5" w:rsidP="00525EE2"/>
        </w:tc>
        <w:tc>
          <w:tcPr>
            <w:tcW w:w="4681" w:type="dxa"/>
            <w:shd w:val="clear" w:color="auto" w:fill="auto"/>
          </w:tcPr>
          <w:p w14:paraId="17B34D50" w14:textId="4BD6AF03" w:rsidR="006944C5" w:rsidRDefault="00037896" w:rsidP="00525EE2">
            <w:r>
              <w:t>August</w:t>
            </w:r>
            <w:r w:rsidR="00E96418">
              <w:t xml:space="preserve"> </w:t>
            </w:r>
            <w:r w:rsidR="00106456">
              <w:t>13</w:t>
            </w:r>
            <w:r w:rsidR="00E96418">
              <w:t>, 2024</w:t>
            </w:r>
          </w:p>
        </w:tc>
      </w:tr>
      <w:tr w:rsidR="006944C5" w14:paraId="22E13132" w14:textId="77777777" w:rsidTr="00525EE2">
        <w:trPr>
          <w:trHeight w:val="260"/>
        </w:trPr>
        <w:tc>
          <w:tcPr>
            <w:tcW w:w="4679" w:type="dxa"/>
            <w:shd w:val="clear" w:color="auto" w:fill="auto"/>
          </w:tcPr>
          <w:p w14:paraId="0D1056D7" w14:textId="77777777" w:rsidR="006944C5" w:rsidRDefault="006944C5" w:rsidP="00525EE2"/>
        </w:tc>
        <w:tc>
          <w:tcPr>
            <w:tcW w:w="4681" w:type="dxa"/>
            <w:shd w:val="clear" w:color="auto" w:fill="auto"/>
          </w:tcPr>
          <w:p w14:paraId="46E0386B" w14:textId="77777777" w:rsidR="006944C5" w:rsidRDefault="006944C5" w:rsidP="00525EE2">
            <w:pPr>
              <w:pBdr>
                <w:top w:val="single" w:sz="4" w:space="2" w:color="000000"/>
              </w:pBdr>
            </w:pPr>
            <w:r>
              <w:t>(Date)</w:t>
            </w:r>
          </w:p>
        </w:tc>
      </w:tr>
    </w:tbl>
    <w:p w14:paraId="34291A37" w14:textId="77777777" w:rsidR="006944C5" w:rsidRDefault="006944C5" w:rsidP="006944C5"/>
    <w:p w14:paraId="27DF7BA9" w14:textId="73800609" w:rsidR="006944C5" w:rsidRDefault="006944C5" w:rsidP="006944C5"/>
    <w:p w14:paraId="4397C767" w14:textId="77777777" w:rsidR="006944C5" w:rsidRDefault="006944C5" w:rsidP="006944C5"/>
    <w:p w14:paraId="6748EB84" w14:textId="77777777" w:rsidR="006944C5" w:rsidRDefault="006944C5" w:rsidP="00DC0ACF">
      <w:pPr>
        <w:rPr>
          <w:b/>
          <w:i/>
        </w:rPr>
      </w:pPr>
    </w:p>
    <w:p w14:paraId="6280031D" w14:textId="071FBAAB" w:rsidR="00DC0ACF" w:rsidRDefault="00DC0ACF" w:rsidP="00DC0ACF">
      <w:r>
        <w:rPr>
          <w:b/>
          <w:i/>
        </w:rPr>
        <w:t>Instructions.</w:t>
      </w:r>
    </w:p>
    <w:p w14:paraId="64045656" w14:textId="77777777" w:rsidR="00DC0ACF" w:rsidRDefault="00DC0ACF" w:rsidP="00DC0ACF"/>
    <w:p w14:paraId="15710EA4" w14:textId="77777777" w:rsidR="00DC0ACF" w:rsidRDefault="00DC0ACF" w:rsidP="00DC0ACF">
      <w:r>
        <w:t>1.</w:t>
      </w:r>
      <w:r>
        <w:tab/>
        <w:t>The form shall be signed by the issuer, its principal executive officer or officers, its principal financial officer, its controller or principal accounting officer and at least a majority of the board of directors or persons performing similar functions.</w:t>
      </w:r>
    </w:p>
    <w:p w14:paraId="2D4B648C" w14:textId="77777777" w:rsidR="00DC0ACF" w:rsidRDefault="00DC0ACF" w:rsidP="00DC0ACF"/>
    <w:p w14:paraId="405D26D3" w14:textId="77777777" w:rsidR="00DC0ACF" w:rsidRPr="00CC3A4E" w:rsidRDefault="00DC0ACF" w:rsidP="00DC0ACF">
      <w:pPr>
        <w:sectPr w:rsidR="00DC0ACF" w:rsidRPr="00CC3A4E" w:rsidSect="004C3ED3">
          <w:footerReference w:type="default" r:id="rId16"/>
          <w:footerReference w:type="first" r:id="rId17"/>
          <w:pgSz w:w="12240" w:h="15840"/>
          <w:pgMar w:top="720" w:right="1440" w:bottom="720" w:left="1440" w:header="708" w:footer="708" w:gutter="0"/>
          <w:pgNumType w:start="1"/>
          <w:cols w:space="720"/>
          <w:titlePg/>
          <w:docGrid w:linePitch="272"/>
        </w:sectPr>
      </w:pPr>
      <w:r>
        <w:t>2.</w:t>
      </w:r>
      <w:r>
        <w:tab/>
        <w:t>The name of each person signing the form shall be typed or printed beneath the signature. Intentional misstatements or omissions of facts constitute federal criminal violations. See 18 U.S.C. 1001.</w:t>
      </w:r>
    </w:p>
    <w:p w14:paraId="50A74FEE" w14:textId="77777777" w:rsidR="00DC0ACF" w:rsidRPr="00485FB0" w:rsidRDefault="00DC0ACF" w:rsidP="00DC0ACF">
      <w:pPr>
        <w:jc w:val="center"/>
        <w:rPr>
          <w:b/>
          <w:bCs/>
          <w:i/>
        </w:rPr>
      </w:pPr>
      <w:r w:rsidRPr="00485FB0">
        <w:rPr>
          <w:b/>
          <w:bCs/>
        </w:rPr>
        <w:lastRenderedPageBreak/>
        <w:t>EXHIBIT A</w:t>
      </w:r>
    </w:p>
    <w:p w14:paraId="3DB25127" w14:textId="77777777" w:rsidR="00DC0ACF" w:rsidRPr="0063792C" w:rsidRDefault="00DC0ACF" w:rsidP="00DC0ACF">
      <w:pPr>
        <w:rPr>
          <w:i/>
          <w:iCs/>
        </w:rPr>
      </w:pPr>
    </w:p>
    <w:p w14:paraId="7CE00A06" w14:textId="77777777" w:rsidR="00DC0ACF" w:rsidRPr="0063792C" w:rsidRDefault="00DC0ACF" w:rsidP="00DC0ACF">
      <w:pPr>
        <w:jc w:val="center"/>
        <w:rPr>
          <w:b/>
          <w:bCs/>
        </w:rPr>
      </w:pPr>
      <w:r w:rsidRPr="0063792C">
        <w:rPr>
          <w:i/>
        </w:rPr>
        <w:t>Financial Statements</w:t>
      </w:r>
      <w:r w:rsidRPr="0063792C" w:rsidDel="008C31BF">
        <w:rPr>
          <w:i/>
          <w:iCs/>
        </w:rPr>
        <w:t xml:space="preserve"> </w:t>
      </w:r>
    </w:p>
    <w:p w14:paraId="39ED859C" w14:textId="77777777" w:rsidR="00DC0ACF" w:rsidRPr="0063792C" w:rsidRDefault="00DC0ACF" w:rsidP="00DC0ACF">
      <w:pPr>
        <w:rPr>
          <w:b/>
        </w:rPr>
      </w:pPr>
      <w:r w:rsidRPr="0063792C">
        <w:br w:type="page"/>
      </w:r>
    </w:p>
    <w:p w14:paraId="682B8E35" w14:textId="77777777" w:rsidR="00DC0ACF" w:rsidRPr="00485FB0" w:rsidRDefault="00DC0ACF" w:rsidP="00DC0ACF">
      <w:pPr>
        <w:jc w:val="center"/>
        <w:rPr>
          <w:b/>
          <w:bCs/>
        </w:rPr>
      </w:pPr>
      <w:r w:rsidRPr="00485FB0">
        <w:rPr>
          <w:b/>
          <w:bCs/>
        </w:rPr>
        <w:lastRenderedPageBreak/>
        <w:t xml:space="preserve">EXHIBIT </w:t>
      </w:r>
      <w:r>
        <w:rPr>
          <w:b/>
          <w:bCs/>
        </w:rPr>
        <w:t>B</w:t>
      </w:r>
    </w:p>
    <w:p w14:paraId="69FB6D9B" w14:textId="77777777" w:rsidR="00DC0ACF" w:rsidRPr="0063792C" w:rsidRDefault="00DC0ACF" w:rsidP="00DC0ACF"/>
    <w:p w14:paraId="6DA8B1CA" w14:textId="77777777" w:rsidR="00DC0ACF" w:rsidRPr="0063792C" w:rsidRDefault="00DC0ACF" w:rsidP="00DC0ACF">
      <w:pPr>
        <w:jc w:val="center"/>
        <w:rPr>
          <w:u w:val="single"/>
        </w:rPr>
      </w:pPr>
      <w:r>
        <w:rPr>
          <w:i/>
        </w:rPr>
        <w:t>Form of Security</w:t>
      </w:r>
    </w:p>
    <w:p w14:paraId="7BB99474" w14:textId="77777777" w:rsidR="00DC0ACF" w:rsidRPr="0063792C" w:rsidRDefault="00DC0ACF" w:rsidP="00DC0ACF">
      <w:pPr>
        <w:tabs>
          <w:tab w:val="left" w:pos="3120"/>
          <w:tab w:val="left" w:pos="3600"/>
        </w:tabs>
        <w:spacing w:after="240"/>
        <w:ind w:left="1800" w:hanging="1800"/>
        <w:jc w:val="center"/>
        <w:rPr>
          <w:u w:val="single"/>
        </w:rPr>
      </w:pPr>
      <w:r w:rsidRPr="0063792C">
        <w:br w:type="page"/>
      </w:r>
    </w:p>
    <w:p w14:paraId="198132EF" w14:textId="77777777" w:rsidR="00DC0ACF" w:rsidRPr="00485FB0" w:rsidRDefault="00DC0ACF" w:rsidP="00DC0ACF">
      <w:pPr>
        <w:jc w:val="center"/>
        <w:rPr>
          <w:b/>
          <w:bCs/>
        </w:rPr>
      </w:pPr>
      <w:r w:rsidRPr="00485FB0">
        <w:rPr>
          <w:b/>
          <w:bCs/>
        </w:rPr>
        <w:lastRenderedPageBreak/>
        <w:t xml:space="preserve">EXHIBIT </w:t>
      </w:r>
      <w:r>
        <w:rPr>
          <w:b/>
          <w:bCs/>
        </w:rPr>
        <w:t>C</w:t>
      </w:r>
    </w:p>
    <w:p w14:paraId="0C8BB9FE" w14:textId="77777777" w:rsidR="00DC0ACF" w:rsidRPr="0063792C" w:rsidRDefault="00DC0ACF" w:rsidP="00DC0ACF"/>
    <w:p w14:paraId="27FAAE78" w14:textId="77777777" w:rsidR="00620B20" w:rsidRDefault="00620B20" w:rsidP="00620B20">
      <w:pPr>
        <w:jc w:val="center"/>
        <w:rPr>
          <w:i/>
        </w:rPr>
      </w:pPr>
      <w:r>
        <w:rPr>
          <w:i/>
        </w:rPr>
        <w:t>Custody Agreement</w:t>
      </w:r>
    </w:p>
    <w:p w14:paraId="5703FE3F" w14:textId="77777777" w:rsidR="00620B20" w:rsidRDefault="00620B20" w:rsidP="00620B20">
      <w:pPr>
        <w:jc w:val="left"/>
        <w:rPr>
          <w:i/>
        </w:rPr>
      </w:pPr>
      <w:r>
        <w:rPr>
          <w:i/>
        </w:rPr>
        <w:br w:type="page"/>
      </w:r>
    </w:p>
    <w:p w14:paraId="4F3D89C2" w14:textId="77777777" w:rsidR="00620B20" w:rsidRPr="00485FB0" w:rsidRDefault="00620B20" w:rsidP="00620B20">
      <w:pPr>
        <w:jc w:val="center"/>
        <w:rPr>
          <w:b/>
          <w:bCs/>
        </w:rPr>
      </w:pPr>
      <w:r w:rsidRPr="00485FB0">
        <w:rPr>
          <w:b/>
          <w:bCs/>
        </w:rPr>
        <w:lastRenderedPageBreak/>
        <w:t xml:space="preserve">EXHIBIT </w:t>
      </w:r>
      <w:r>
        <w:rPr>
          <w:b/>
          <w:bCs/>
        </w:rPr>
        <w:t>D</w:t>
      </w:r>
    </w:p>
    <w:p w14:paraId="06DAAD46" w14:textId="77777777" w:rsidR="00620B20" w:rsidRPr="0063792C" w:rsidRDefault="00620B20" w:rsidP="00620B20"/>
    <w:p w14:paraId="0E360916" w14:textId="77777777" w:rsidR="00620B20" w:rsidRPr="0063792C" w:rsidRDefault="00620B20" w:rsidP="00620B20">
      <w:pPr>
        <w:jc w:val="center"/>
        <w:rPr>
          <w:u w:val="single"/>
        </w:rPr>
      </w:pPr>
      <w:r w:rsidRPr="00F120ED">
        <w:rPr>
          <w:i/>
        </w:rPr>
        <w:t>Omnibus Nominee Trust Agreement</w:t>
      </w:r>
    </w:p>
    <w:p w14:paraId="4A073C60" w14:textId="77777777" w:rsidR="00620B20" w:rsidRPr="0063792C" w:rsidRDefault="00620B20" w:rsidP="00620B20">
      <w:pPr>
        <w:jc w:val="center"/>
        <w:rPr>
          <w:u w:val="single"/>
        </w:rPr>
      </w:pPr>
    </w:p>
    <w:p w14:paraId="12A40F3C" w14:textId="77777777" w:rsidR="00620B20" w:rsidRPr="0063792C" w:rsidRDefault="00620B20" w:rsidP="00620B20">
      <w:pPr>
        <w:tabs>
          <w:tab w:val="left" w:pos="3120"/>
          <w:tab w:val="left" w:pos="3600"/>
        </w:tabs>
        <w:spacing w:after="240"/>
        <w:jc w:val="center"/>
        <w:rPr>
          <w:u w:val="single"/>
        </w:rPr>
      </w:pPr>
      <w:r w:rsidRPr="0063792C">
        <w:br w:type="page"/>
      </w:r>
    </w:p>
    <w:p w14:paraId="3AE93AE7" w14:textId="77777777" w:rsidR="00620B20" w:rsidRPr="00485FB0" w:rsidRDefault="00620B20" w:rsidP="00620B20">
      <w:pPr>
        <w:jc w:val="center"/>
        <w:rPr>
          <w:b/>
          <w:bCs/>
        </w:rPr>
      </w:pPr>
      <w:r w:rsidRPr="00485FB0">
        <w:rPr>
          <w:b/>
          <w:bCs/>
        </w:rPr>
        <w:lastRenderedPageBreak/>
        <w:t xml:space="preserve">EXHIBIT </w:t>
      </w:r>
      <w:r>
        <w:rPr>
          <w:b/>
          <w:bCs/>
        </w:rPr>
        <w:t>E</w:t>
      </w:r>
    </w:p>
    <w:p w14:paraId="20857C0C" w14:textId="77777777" w:rsidR="00620B20" w:rsidRPr="0063792C" w:rsidRDefault="00620B20" w:rsidP="00620B20"/>
    <w:p w14:paraId="676AFD78" w14:textId="77777777" w:rsidR="00DC0ACF" w:rsidRPr="0063792C" w:rsidRDefault="00DC0ACF" w:rsidP="00DC0ACF">
      <w:pPr>
        <w:jc w:val="center"/>
        <w:rPr>
          <w:u w:val="single"/>
        </w:rPr>
      </w:pPr>
      <w:r>
        <w:rPr>
          <w:i/>
        </w:rPr>
        <w:t>Video Transcript</w:t>
      </w:r>
    </w:p>
    <w:sectPr w:rsidR="00DC0ACF" w:rsidRPr="0063792C" w:rsidSect="004C3ED3">
      <w:footerReference w:type="default" r:id="rId18"/>
      <w:footerReference w:type="first" r:id="rId19"/>
      <w:pgSz w:w="12240" w:h="15840"/>
      <w:pgMar w:top="720" w:right="1440" w:bottom="720" w:left="1440" w:header="708" w:footer="70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B1184" w14:textId="77777777" w:rsidR="00382DF0" w:rsidRDefault="00382DF0">
      <w:r>
        <w:separator/>
      </w:r>
    </w:p>
  </w:endnote>
  <w:endnote w:type="continuationSeparator" w:id="0">
    <w:p w14:paraId="442D6E94" w14:textId="77777777" w:rsidR="00382DF0" w:rsidRDefault="0038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81549417"/>
      <w:docPartObj>
        <w:docPartGallery w:val="Page Numbers (Bottom of Page)"/>
        <w:docPartUnique/>
      </w:docPartObj>
    </w:sdtPr>
    <w:sdtContent>
      <w:p w14:paraId="0912FE5D" w14:textId="77777777" w:rsidR="00DC0ACF" w:rsidRDefault="00DC0ACF" w:rsidP="00517B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sdtContent>
  </w:sdt>
  <w:p w14:paraId="38B4E404" w14:textId="77777777" w:rsidR="00DC0ACF" w:rsidRDefault="00DC0ACF">
    <w:pPr>
      <w:jc w:val="right"/>
    </w:pPr>
  </w:p>
  <w:p w14:paraId="0E9C4A11" w14:textId="77777777" w:rsidR="00DC0ACF" w:rsidRDefault="00DC0A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38887646"/>
      <w:docPartObj>
        <w:docPartGallery w:val="Page Numbers (Bottom of Page)"/>
        <w:docPartUnique/>
      </w:docPartObj>
    </w:sdtPr>
    <w:sdtContent>
      <w:p w14:paraId="474D33B7" w14:textId="77777777" w:rsidR="00DC0ACF" w:rsidRDefault="00DC0ACF" w:rsidP="009464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77C5CF90" w14:textId="77777777" w:rsidR="00DC0ACF" w:rsidRDefault="00DC0ACF">
    <w:pPr>
      <w:pBdr>
        <w:top w:val="nil"/>
        <w:left w:val="nil"/>
        <w:bottom w:val="nil"/>
        <w:right w:val="nil"/>
        <w:between w:val="nil"/>
      </w:pBdr>
      <w:tabs>
        <w:tab w:val="center" w:pos="5553"/>
        <w:tab w:val="right" w:pos="111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49401540"/>
      <w:docPartObj>
        <w:docPartGallery w:val="Page Numbers (Bottom of Page)"/>
        <w:docPartUnique/>
      </w:docPartObj>
    </w:sdtPr>
    <w:sdtContent>
      <w:p w14:paraId="1F26B4FB" w14:textId="77777777" w:rsidR="00DC0ACF" w:rsidRDefault="00DC0ACF" w:rsidP="009464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2AF9B45C" w14:textId="77777777" w:rsidR="00DC0ACF" w:rsidRDefault="00DC0ACF">
    <w:pPr>
      <w:pBdr>
        <w:top w:val="nil"/>
        <w:left w:val="nil"/>
        <w:bottom w:val="nil"/>
        <w:right w:val="nil"/>
        <w:between w:val="nil"/>
      </w:pBdr>
      <w:tabs>
        <w:tab w:val="center" w:pos="5553"/>
        <w:tab w:val="right" w:pos="11106"/>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18301" w14:textId="77777777" w:rsidR="00DC0ACF" w:rsidRDefault="00DC0ACF">
    <w:pPr>
      <w:jc w:val="right"/>
    </w:pPr>
  </w:p>
  <w:p w14:paraId="084B8A18" w14:textId="77777777" w:rsidR="00DC0ACF" w:rsidRDefault="00DC0AC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945D7" w14:textId="77777777" w:rsidR="00DC0ACF" w:rsidRDefault="00DC0ACF">
    <w:pPr>
      <w:pBdr>
        <w:top w:val="nil"/>
        <w:left w:val="nil"/>
        <w:bottom w:val="nil"/>
        <w:right w:val="nil"/>
        <w:between w:val="nil"/>
      </w:pBdr>
      <w:tabs>
        <w:tab w:val="center" w:pos="5553"/>
        <w:tab w:val="right" w:pos="11106"/>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707F3" w14:textId="77777777" w:rsidR="00EF3D43" w:rsidRDefault="00EF3D43">
    <w:pPr>
      <w:jc w:val="right"/>
    </w:pPr>
  </w:p>
  <w:p w14:paraId="0628B831" w14:textId="77777777" w:rsidR="00EF3D43" w:rsidRDefault="00EF3D4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FBEE3" w14:textId="77777777" w:rsidR="00EF3D43" w:rsidRDefault="00EF3D43">
    <w:pPr>
      <w:pBdr>
        <w:top w:val="nil"/>
        <w:left w:val="nil"/>
        <w:bottom w:val="nil"/>
        <w:right w:val="nil"/>
        <w:between w:val="nil"/>
      </w:pBdr>
      <w:tabs>
        <w:tab w:val="center" w:pos="5553"/>
        <w:tab w:val="right" w:pos="111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5C18B" w14:textId="77777777" w:rsidR="00382DF0" w:rsidRDefault="00382DF0">
      <w:r>
        <w:separator/>
      </w:r>
    </w:p>
  </w:footnote>
  <w:footnote w:type="continuationSeparator" w:id="0">
    <w:p w14:paraId="64B07D1C" w14:textId="77777777" w:rsidR="00382DF0" w:rsidRDefault="00382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7EBDE" w14:textId="77777777" w:rsidR="00DC0ACF" w:rsidRPr="00A27844" w:rsidRDefault="00DC0ACF" w:rsidP="009464D2">
    <w:pPr>
      <w:pBdr>
        <w:top w:val="nil"/>
        <w:left w:val="nil"/>
        <w:bottom w:val="nil"/>
        <w:right w:val="nil"/>
        <w:between w:val="nil"/>
      </w:pBdr>
      <w:tabs>
        <w:tab w:val="center" w:pos="5553"/>
        <w:tab w:val="right" w:pos="11106"/>
      </w:tabs>
      <w:rPr>
        <w:cap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9C92182A"/>
    <w:lvl w:ilvl="0" w:tplc="00000001">
      <w:start w:val="1"/>
      <w:numFmt w:val="decimal"/>
      <w:lvlText w:val="%1."/>
      <w:lvlJc w:val="left"/>
      <w:pPr>
        <w:ind w:left="720" w:hanging="360"/>
      </w:pPr>
    </w:lvl>
    <w:lvl w:ilvl="1" w:tplc="8C448538">
      <w:start w:val="1"/>
      <w:numFmt w:val="lowerLetter"/>
      <w:lvlText w:val="(%2)"/>
      <w:lvlJc w:val="left"/>
      <w:pPr>
        <w:ind w:left="990" w:hanging="360"/>
      </w:pPr>
      <w:rPr>
        <w:rFonts w:hint="default"/>
        <w:b w:val="0"/>
        <w:bCs/>
        <w:i w:val="0"/>
        <w:iCs/>
      </w:rPr>
    </w:lvl>
    <w:lvl w:ilvl="2" w:tplc="E74ABC3C">
      <w:start w:val="1"/>
      <w:numFmt w:val="lowerRoman"/>
      <w:lvlText w:val="(%3)"/>
      <w:lvlJc w:val="left"/>
      <w:pPr>
        <w:ind w:left="2160" w:hanging="360"/>
      </w:pPr>
      <w:rPr>
        <w:rFont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bullets"/>
    <w:lvl w:ilvl="0">
      <w:start w:val="1"/>
      <w:numFmt w:val="bullet"/>
      <w:lvlText w:val=""/>
      <w:lvlJc w:val="left"/>
      <w:pPr>
        <w:tabs>
          <w:tab w:val="num" w:pos="0"/>
        </w:tabs>
        <w:ind w:left="360" w:hanging="360"/>
      </w:pPr>
      <w:rPr>
        <w:rFonts w:ascii="Symbol" w:hAnsi="Symbol"/>
      </w:rPr>
    </w:lvl>
    <w:lvl w:ilvl="1">
      <w:start w:val="1"/>
      <w:numFmt w:val="bullet"/>
      <w:lvlText w:val=""/>
      <w:lvlJc w:val="left"/>
      <w:pPr>
        <w:tabs>
          <w:tab w:val="num" w:pos="0"/>
        </w:tabs>
        <w:ind w:left="720" w:hanging="360"/>
      </w:pPr>
      <w:rPr>
        <w:rFonts w:ascii="Symbol" w:hAnsi="Symbol"/>
      </w:rPr>
    </w:lvl>
    <w:lvl w:ilvl="2">
      <w:start w:val="1"/>
      <w:numFmt w:val="bullet"/>
      <w:lvlText w:val=""/>
      <w:lvlJc w:val="left"/>
      <w:pPr>
        <w:tabs>
          <w:tab w:val="num" w:pos="0"/>
        </w:tabs>
        <w:ind w:left="1080" w:hanging="360"/>
      </w:pPr>
      <w:rPr>
        <w:rFonts w:ascii="Symbol" w:hAnsi="Symbol"/>
      </w:rPr>
    </w:lvl>
    <w:lvl w:ilvl="3">
      <w:start w:val="1"/>
      <w:numFmt w:val="bullet"/>
      <w:lvlText w:val=""/>
      <w:lvlJc w:val="left"/>
      <w:pPr>
        <w:tabs>
          <w:tab w:val="num" w:pos="0"/>
        </w:tabs>
        <w:ind w:left="1440" w:hanging="360"/>
      </w:pPr>
      <w:rPr>
        <w:rFonts w:ascii="Symbol" w:hAnsi="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C3609B"/>
    <w:multiLevelType w:val="hybridMultilevel"/>
    <w:tmpl w:val="DBF6EFF2"/>
    <w:lvl w:ilvl="0" w:tplc="EE1086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50DC3"/>
    <w:multiLevelType w:val="multilevel"/>
    <w:tmpl w:val="3C3404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50336B8"/>
    <w:multiLevelType w:val="multilevel"/>
    <w:tmpl w:val="CDC46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1B4ED7"/>
    <w:multiLevelType w:val="hybridMultilevel"/>
    <w:tmpl w:val="CB10B2D6"/>
    <w:lvl w:ilvl="0" w:tplc="E1AAD3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C40E7"/>
    <w:multiLevelType w:val="multilevel"/>
    <w:tmpl w:val="48869A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07134A"/>
    <w:multiLevelType w:val="hybridMultilevel"/>
    <w:tmpl w:val="433A6018"/>
    <w:lvl w:ilvl="0" w:tplc="7F4044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B151BA"/>
    <w:multiLevelType w:val="multilevel"/>
    <w:tmpl w:val="217846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2BF6569"/>
    <w:multiLevelType w:val="multilevel"/>
    <w:tmpl w:val="8416B338"/>
    <w:lvl w:ilvl="0">
      <w:start w:val="1"/>
      <w:numFmt w:val="bullet"/>
      <w:lvlText w:val="•"/>
      <w:lvlJc w:val="left"/>
      <w:pPr>
        <w:ind w:left="405" w:hanging="360"/>
      </w:pPr>
      <w:rPr>
        <w:rFonts w:ascii="Times New Roman" w:eastAsia="Times New Roman" w:hAnsi="Times New Roman" w:cs="Times New Roman"/>
      </w:rPr>
    </w:lvl>
    <w:lvl w:ilvl="1">
      <w:start w:val="1"/>
      <w:numFmt w:val="bullet"/>
      <w:lvlText w:val="o"/>
      <w:lvlJc w:val="left"/>
      <w:pPr>
        <w:ind w:left="1125" w:hanging="360"/>
      </w:pPr>
      <w:rPr>
        <w:rFonts w:ascii="Courier New" w:eastAsia="Courier New" w:hAnsi="Courier New" w:cs="Courier New"/>
      </w:rPr>
    </w:lvl>
    <w:lvl w:ilvl="2">
      <w:start w:val="1"/>
      <w:numFmt w:val="bullet"/>
      <w:lvlText w:val="▪"/>
      <w:lvlJc w:val="left"/>
      <w:pPr>
        <w:ind w:left="1845" w:hanging="360"/>
      </w:pPr>
      <w:rPr>
        <w:rFonts w:ascii="Noto Sans Symbols" w:eastAsia="Noto Sans Symbols" w:hAnsi="Noto Sans Symbols" w:cs="Noto Sans Symbols"/>
      </w:rPr>
    </w:lvl>
    <w:lvl w:ilvl="3">
      <w:start w:val="1"/>
      <w:numFmt w:val="bullet"/>
      <w:lvlText w:val="●"/>
      <w:lvlJc w:val="left"/>
      <w:pPr>
        <w:ind w:left="2565" w:hanging="360"/>
      </w:pPr>
      <w:rPr>
        <w:rFonts w:ascii="Noto Sans Symbols" w:eastAsia="Noto Sans Symbols" w:hAnsi="Noto Sans Symbols" w:cs="Noto Sans Symbols"/>
      </w:rPr>
    </w:lvl>
    <w:lvl w:ilvl="4">
      <w:start w:val="1"/>
      <w:numFmt w:val="bullet"/>
      <w:lvlText w:val="o"/>
      <w:lvlJc w:val="left"/>
      <w:pPr>
        <w:ind w:left="3285" w:hanging="360"/>
      </w:pPr>
      <w:rPr>
        <w:rFonts w:ascii="Courier New" w:eastAsia="Courier New" w:hAnsi="Courier New" w:cs="Courier New"/>
      </w:rPr>
    </w:lvl>
    <w:lvl w:ilvl="5">
      <w:start w:val="1"/>
      <w:numFmt w:val="bullet"/>
      <w:lvlText w:val="▪"/>
      <w:lvlJc w:val="left"/>
      <w:pPr>
        <w:ind w:left="4005" w:hanging="360"/>
      </w:pPr>
      <w:rPr>
        <w:rFonts w:ascii="Noto Sans Symbols" w:eastAsia="Noto Sans Symbols" w:hAnsi="Noto Sans Symbols" w:cs="Noto Sans Symbols"/>
      </w:rPr>
    </w:lvl>
    <w:lvl w:ilvl="6">
      <w:start w:val="1"/>
      <w:numFmt w:val="bullet"/>
      <w:lvlText w:val="●"/>
      <w:lvlJc w:val="left"/>
      <w:pPr>
        <w:ind w:left="4725" w:hanging="360"/>
      </w:pPr>
      <w:rPr>
        <w:rFonts w:ascii="Noto Sans Symbols" w:eastAsia="Noto Sans Symbols" w:hAnsi="Noto Sans Symbols" w:cs="Noto Sans Symbols"/>
      </w:rPr>
    </w:lvl>
    <w:lvl w:ilvl="7">
      <w:start w:val="1"/>
      <w:numFmt w:val="bullet"/>
      <w:lvlText w:val="o"/>
      <w:lvlJc w:val="left"/>
      <w:pPr>
        <w:ind w:left="5445" w:hanging="360"/>
      </w:pPr>
      <w:rPr>
        <w:rFonts w:ascii="Courier New" w:eastAsia="Courier New" w:hAnsi="Courier New" w:cs="Courier New"/>
      </w:rPr>
    </w:lvl>
    <w:lvl w:ilvl="8">
      <w:start w:val="1"/>
      <w:numFmt w:val="bullet"/>
      <w:lvlText w:val="▪"/>
      <w:lvlJc w:val="left"/>
      <w:pPr>
        <w:ind w:left="6165" w:hanging="360"/>
      </w:pPr>
      <w:rPr>
        <w:rFonts w:ascii="Noto Sans Symbols" w:eastAsia="Noto Sans Symbols" w:hAnsi="Noto Sans Symbols" w:cs="Noto Sans Symbols"/>
      </w:rPr>
    </w:lvl>
  </w:abstractNum>
  <w:abstractNum w:abstractNumId="10" w15:restartNumberingAfterBreak="0">
    <w:nsid w:val="4C372057"/>
    <w:multiLevelType w:val="multilevel"/>
    <w:tmpl w:val="DA00F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06875FE"/>
    <w:multiLevelType w:val="hybridMultilevel"/>
    <w:tmpl w:val="870ECB1A"/>
    <w:lvl w:ilvl="0" w:tplc="DD941C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F12B07"/>
    <w:multiLevelType w:val="multilevel"/>
    <w:tmpl w:val="BF3E4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B227201"/>
    <w:multiLevelType w:val="multilevel"/>
    <w:tmpl w:val="AF90D176"/>
    <w:lvl w:ilvl="0">
      <w:start w:val="1"/>
      <w:numFmt w:val="bullet"/>
      <w:lvlText w:val="•"/>
      <w:lvlJc w:val="left"/>
      <w:pPr>
        <w:ind w:left="405"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F005AB9"/>
    <w:multiLevelType w:val="hybridMultilevel"/>
    <w:tmpl w:val="5AAE6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8D5131"/>
    <w:multiLevelType w:val="multilevel"/>
    <w:tmpl w:val="077EA7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8F43B3"/>
    <w:multiLevelType w:val="hybridMultilevel"/>
    <w:tmpl w:val="BE7E61B0"/>
    <w:lvl w:ilvl="0" w:tplc="4BF6A34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BF23CF"/>
    <w:multiLevelType w:val="multilevel"/>
    <w:tmpl w:val="48869A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6910C03"/>
    <w:multiLevelType w:val="multilevel"/>
    <w:tmpl w:val="0908F9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6A9B08BE"/>
    <w:multiLevelType w:val="multilevel"/>
    <w:tmpl w:val="2AFC8D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C751B1C"/>
    <w:multiLevelType w:val="multilevel"/>
    <w:tmpl w:val="7AEE69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DD711B7"/>
    <w:multiLevelType w:val="multilevel"/>
    <w:tmpl w:val="BC3263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6DFC31EB"/>
    <w:multiLevelType w:val="hybridMultilevel"/>
    <w:tmpl w:val="B8E23628"/>
    <w:lvl w:ilvl="0" w:tplc="B09262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4D0FA9"/>
    <w:multiLevelType w:val="multilevel"/>
    <w:tmpl w:val="ED5EB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7C092D"/>
    <w:multiLevelType w:val="multilevel"/>
    <w:tmpl w:val="677699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777792"/>
    <w:multiLevelType w:val="hybridMultilevel"/>
    <w:tmpl w:val="9FF06CC2"/>
    <w:lvl w:ilvl="0" w:tplc="AAA891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8909286">
    <w:abstractNumId w:val="8"/>
  </w:num>
  <w:num w:numId="2" w16cid:durableId="465390152">
    <w:abstractNumId w:val="15"/>
  </w:num>
  <w:num w:numId="3" w16cid:durableId="1041058673">
    <w:abstractNumId w:val="6"/>
  </w:num>
  <w:num w:numId="4" w16cid:durableId="145175110">
    <w:abstractNumId w:val="10"/>
  </w:num>
  <w:num w:numId="5" w16cid:durableId="2052145213">
    <w:abstractNumId w:val="12"/>
  </w:num>
  <w:num w:numId="6" w16cid:durableId="1247378649">
    <w:abstractNumId w:val="21"/>
  </w:num>
  <w:num w:numId="7" w16cid:durableId="1215240275">
    <w:abstractNumId w:val="13"/>
  </w:num>
  <w:num w:numId="8" w16cid:durableId="954143359">
    <w:abstractNumId w:val="4"/>
  </w:num>
  <w:num w:numId="9" w16cid:durableId="359670989">
    <w:abstractNumId w:val="18"/>
  </w:num>
  <w:num w:numId="10" w16cid:durableId="1233195803">
    <w:abstractNumId w:val="3"/>
  </w:num>
  <w:num w:numId="11" w16cid:durableId="1645617507">
    <w:abstractNumId w:val="9"/>
  </w:num>
  <w:num w:numId="12" w16cid:durableId="109594911">
    <w:abstractNumId w:val="20"/>
  </w:num>
  <w:num w:numId="13" w16cid:durableId="913903303">
    <w:abstractNumId w:val="23"/>
  </w:num>
  <w:num w:numId="14" w16cid:durableId="360251904">
    <w:abstractNumId w:val="19"/>
  </w:num>
  <w:num w:numId="15" w16cid:durableId="148524537">
    <w:abstractNumId w:val="14"/>
  </w:num>
  <w:num w:numId="16" w16cid:durableId="992680462">
    <w:abstractNumId w:val="1"/>
  </w:num>
  <w:num w:numId="17" w16cid:durableId="601110386">
    <w:abstractNumId w:val="2"/>
  </w:num>
  <w:num w:numId="18" w16cid:durableId="1328510335">
    <w:abstractNumId w:val="0"/>
  </w:num>
  <w:num w:numId="19" w16cid:durableId="1729038653">
    <w:abstractNumId w:val="17"/>
  </w:num>
  <w:num w:numId="20" w16cid:durableId="1594974899">
    <w:abstractNumId w:val="16"/>
  </w:num>
  <w:num w:numId="21" w16cid:durableId="1036345779">
    <w:abstractNumId w:val="22"/>
  </w:num>
  <w:num w:numId="22" w16cid:durableId="1489056850">
    <w:abstractNumId w:val="5"/>
  </w:num>
  <w:num w:numId="23" w16cid:durableId="1833176319">
    <w:abstractNumId w:val="7"/>
  </w:num>
  <w:num w:numId="24" w16cid:durableId="1552838304">
    <w:abstractNumId w:val="24"/>
  </w:num>
  <w:num w:numId="25" w16cid:durableId="1171679705">
    <w:abstractNumId w:val="11"/>
  </w:num>
  <w:num w:numId="26" w16cid:durableId="9886348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F0"/>
    <w:rsid w:val="000003DC"/>
    <w:rsid w:val="00005543"/>
    <w:rsid w:val="000137BF"/>
    <w:rsid w:val="00016123"/>
    <w:rsid w:val="00022FCA"/>
    <w:rsid w:val="00037896"/>
    <w:rsid w:val="000379D7"/>
    <w:rsid w:val="00043404"/>
    <w:rsid w:val="00046363"/>
    <w:rsid w:val="00047AB6"/>
    <w:rsid w:val="0006740C"/>
    <w:rsid w:val="00071A89"/>
    <w:rsid w:val="00072B03"/>
    <w:rsid w:val="000807CA"/>
    <w:rsid w:val="0008080B"/>
    <w:rsid w:val="00081A77"/>
    <w:rsid w:val="000910D3"/>
    <w:rsid w:val="00093C12"/>
    <w:rsid w:val="00094BCE"/>
    <w:rsid w:val="00096319"/>
    <w:rsid w:val="000A0A35"/>
    <w:rsid w:val="000A0AC7"/>
    <w:rsid w:val="000A301F"/>
    <w:rsid w:val="000B54D9"/>
    <w:rsid w:val="000B6A37"/>
    <w:rsid w:val="000C4551"/>
    <w:rsid w:val="000D61D4"/>
    <w:rsid w:val="000E1AC8"/>
    <w:rsid w:val="000E221E"/>
    <w:rsid w:val="000E60EF"/>
    <w:rsid w:val="00106456"/>
    <w:rsid w:val="00106C4D"/>
    <w:rsid w:val="00111344"/>
    <w:rsid w:val="00125BCE"/>
    <w:rsid w:val="00157C6B"/>
    <w:rsid w:val="00172C70"/>
    <w:rsid w:val="00183299"/>
    <w:rsid w:val="00183995"/>
    <w:rsid w:val="00186C4B"/>
    <w:rsid w:val="0019602B"/>
    <w:rsid w:val="001A4D26"/>
    <w:rsid w:val="001B025B"/>
    <w:rsid w:val="001C4E83"/>
    <w:rsid w:val="001E1DE5"/>
    <w:rsid w:val="001E366F"/>
    <w:rsid w:val="001E4909"/>
    <w:rsid w:val="001F19D6"/>
    <w:rsid w:val="002041C5"/>
    <w:rsid w:val="00211BDB"/>
    <w:rsid w:val="002151C2"/>
    <w:rsid w:val="00224588"/>
    <w:rsid w:val="00227CD9"/>
    <w:rsid w:val="0023226A"/>
    <w:rsid w:val="002338DC"/>
    <w:rsid w:val="00233945"/>
    <w:rsid w:val="0024654A"/>
    <w:rsid w:val="002507AC"/>
    <w:rsid w:val="0026647F"/>
    <w:rsid w:val="00273FC1"/>
    <w:rsid w:val="00276941"/>
    <w:rsid w:val="0028201F"/>
    <w:rsid w:val="00291E9C"/>
    <w:rsid w:val="00295426"/>
    <w:rsid w:val="0029799F"/>
    <w:rsid w:val="002C173C"/>
    <w:rsid w:val="002C31F9"/>
    <w:rsid w:val="002D21D0"/>
    <w:rsid w:val="002D59F5"/>
    <w:rsid w:val="002E76DE"/>
    <w:rsid w:val="002F21E3"/>
    <w:rsid w:val="002F4B26"/>
    <w:rsid w:val="002F5728"/>
    <w:rsid w:val="002F6E60"/>
    <w:rsid w:val="00315FDC"/>
    <w:rsid w:val="0032342B"/>
    <w:rsid w:val="00325C8B"/>
    <w:rsid w:val="00333396"/>
    <w:rsid w:val="003334F6"/>
    <w:rsid w:val="00336FC8"/>
    <w:rsid w:val="00345AB2"/>
    <w:rsid w:val="0034652B"/>
    <w:rsid w:val="003613D0"/>
    <w:rsid w:val="003648AE"/>
    <w:rsid w:val="00370347"/>
    <w:rsid w:val="00373569"/>
    <w:rsid w:val="00382DF0"/>
    <w:rsid w:val="00382EC5"/>
    <w:rsid w:val="00394363"/>
    <w:rsid w:val="0039528C"/>
    <w:rsid w:val="003D4B45"/>
    <w:rsid w:val="003E2013"/>
    <w:rsid w:val="003E41B7"/>
    <w:rsid w:val="003F08C2"/>
    <w:rsid w:val="003F7BE7"/>
    <w:rsid w:val="00400B8C"/>
    <w:rsid w:val="00416EB0"/>
    <w:rsid w:val="00435C41"/>
    <w:rsid w:val="004461D8"/>
    <w:rsid w:val="00450620"/>
    <w:rsid w:val="004523D3"/>
    <w:rsid w:val="00456B77"/>
    <w:rsid w:val="00461F68"/>
    <w:rsid w:val="004621DB"/>
    <w:rsid w:val="00466D72"/>
    <w:rsid w:val="004710A7"/>
    <w:rsid w:val="00474066"/>
    <w:rsid w:val="00487BF8"/>
    <w:rsid w:val="00492A43"/>
    <w:rsid w:val="004A03CC"/>
    <w:rsid w:val="004A2B56"/>
    <w:rsid w:val="004B22F6"/>
    <w:rsid w:val="004B5355"/>
    <w:rsid w:val="004B63E5"/>
    <w:rsid w:val="004C33E7"/>
    <w:rsid w:val="004C3ED3"/>
    <w:rsid w:val="004E2CCF"/>
    <w:rsid w:val="004E7854"/>
    <w:rsid w:val="004F7BA8"/>
    <w:rsid w:val="0050258C"/>
    <w:rsid w:val="005109D9"/>
    <w:rsid w:val="00515DF0"/>
    <w:rsid w:val="00517DC3"/>
    <w:rsid w:val="0052698F"/>
    <w:rsid w:val="00531F84"/>
    <w:rsid w:val="0054280C"/>
    <w:rsid w:val="00545AE6"/>
    <w:rsid w:val="00547D9F"/>
    <w:rsid w:val="00571237"/>
    <w:rsid w:val="00572040"/>
    <w:rsid w:val="005801C3"/>
    <w:rsid w:val="00581458"/>
    <w:rsid w:val="005A7C6E"/>
    <w:rsid w:val="005B1CF2"/>
    <w:rsid w:val="005D27D5"/>
    <w:rsid w:val="005D5DA5"/>
    <w:rsid w:val="005E188E"/>
    <w:rsid w:val="006115E9"/>
    <w:rsid w:val="0061491B"/>
    <w:rsid w:val="00620B20"/>
    <w:rsid w:val="00627DB3"/>
    <w:rsid w:val="00632796"/>
    <w:rsid w:val="006353D8"/>
    <w:rsid w:val="006354E8"/>
    <w:rsid w:val="00660B5D"/>
    <w:rsid w:val="00675D16"/>
    <w:rsid w:val="00676F3C"/>
    <w:rsid w:val="00684B0D"/>
    <w:rsid w:val="0069204E"/>
    <w:rsid w:val="006944C5"/>
    <w:rsid w:val="006972EB"/>
    <w:rsid w:val="006B05C6"/>
    <w:rsid w:val="006B0BED"/>
    <w:rsid w:val="006B2FC8"/>
    <w:rsid w:val="006C0A98"/>
    <w:rsid w:val="006C627B"/>
    <w:rsid w:val="006E0BEE"/>
    <w:rsid w:val="006E0D04"/>
    <w:rsid w:val="006E1939"/>
    <w:rsid w:val="006E4B4B"/>
    <w:rsid w:val="006F15E4"/>
    <w:rsid w:val="00705431"/>
    <w:rsid w:val="007067E5"/>
    <w:rsid w:val="00707075"/>
    <w:rsid w:val="00714B86"/>
    <w:rsid w:val="00747A8B"/>
    <w:rsid w:val="007575D8"/>
    <w:rsid w:val="00765089"/>
    <w:rsid w:val="00777C7E"/>
    <w:rsid w:val="007805D1"/>
    <w:rsid w:val="0078680F"/>
    <w:rsid w:val="00787557"/>
    <w:rsid w:val="007A1E87"/>
    <w:rsid w:val="007A7968"/>
    <w:rsid w:val="007A7B8F"/>
    <w:rsid w:val="007B71FE"/>
    <w:rsid w:val="007E14F7"/>
    <w:rsid w:val="007E4DDE"/>
    <w:rsid w:val="007F15B5"/>
    <w:rsid w:val="008016A8"/>
    <w:rsid w:val="00802BDF"/>
    <w:rsid w:val="00815F4B"/>
    <w:rsid w:val="0083045F"/>
    <w:rsid w:val="0084138A"/>
    <w:rsid w:val="00853183"/>
    <w:rsid w:val="00853BA2"/>
    <w:rsid w:val="00853E35"/>
    <w:rsid w:val="00856B8F"/>
    <w:rsid w:val="00856D91"/>
    <w:rsid w:val="00857CA9"/>
    <w:rsid w:val="00863813"/>
    <w:rsid w:val="008807DB"/>
    <w:rsid w:val="00887878"/>
    <w:rsid w:val="00896AD3"/>
    <w:rsid w:val="008A029D"/>
    <w:rsid w:val="008B7F64"/>
    <w:rsid w:val="008C650B"/>
    <w:rsid w:val="008F474C"/>
    <w:rsid w:val="0090299E"/>
    <w:rsid w:val="00902AD5"/>
    <w:rsid w:val="0090651D"/>
    <w:rsid w:val="009120A0"/>
    <w:rsid w:val="0093091B"/>
    <w:rsid w:val="00945B77"/>
    <w:rsid w:val="00953AD6"/>
    <w:rsid w:val="009553FC"/>
    <w:rsid w:val="00966C05"/>
    <w:rsid w:val="00967DA5"/>
    <w:rsid w:val="00981830"/>
    <w:rsid w:val="00982050"/>
    <w:rsid w:val="00991DA9"/>
    <w:rsid w:val="009A45B4"/>
    <w:rsid w:val="009C1B28"/>
    <w:rsid w:val="009D5DA7"/>
    <w:rsid w:val="009E3288"/>
    <w:rsid w:val="009E6D97"/>
    <w:rsid w:val="009F0957"/>
    <w:rsid w:val="009F2E93"/>
    <w:rsid w:val="00A02DCC"/>
    <w:rsid w:val="00A138B2"/>
    <w:rsid w:val="00A1544C"/>
    <w:rsid w:val="00A35C98"/>
    <w:rsid w:val="00A37D94"/>
    <w:rsid w:val="00A40607"/>
    <w:rsid w:val="00A4428F"/>
    <w:rsid w:val="00A526A3"/>
    <w:rsid w:val="00A834DB"/>
    <w:rsid w:val="00A94201"/>
    <w:rsid w:val="00AA79AE"/>
    <w:rsid w:val="00AB2F76"/>
    <w:rsid w:val="00AC2204"/>
    <w:rsid w:val="00AC2ACD"/>
    <w:rsid w:val="00AC3017"/>
    <w:rsid w:val="00AE5EC2"/>
    <w:rsid w:val="00B003CB"/>
    <w:rsid w:val="00B13578"/>
    <w:rsid w:val="00B22284"/>
    <w:rsid w:val="00B31437"/>
    <w:rsid w:val="00B35FF2"/>
    <w:rsid w:val="00B5098F"/>
    <w:rsid w:val="00B60317"/>
    <w:rsid w:val="00B653AE"/>
    <w:rsid w:val="00B7178D"/>
    <w:rsid w:val="00B8224B"/>
    <w:rsid w:val="00B842BD"/>
    <w:rsid w:val="00B93267"/>
    <w:rsid w:val="00B94F1F"/>
    <w:rsid w:val="00B97348"/>
    <w:rsid w:val="00BB621E"/>
    <w:rsid w:val="00BC1ABA"/>
    <w:rsid w:val="00BC5133"/>
    <w:rsid w:val="00BC5626"/>
    <w:rsid w:val="00BC63E0"/>
    <w:rsid w:val="00BD1093"/>
    <w:rsid w:val="00BD472A"/>
    <w:rsid w:val="00BE2865"/>
    <w:rsid w:val="00BE3080"/>
    <w:rsid w:val="00BF7474"/>
    <w:rsid w:val="00C00236"/>
    <w:rsid w:val="00C06276"/>
    <w:rsid w:val="00C12960"/>
    <w:rsid w:val="00C14E91"/>
    <w:rsid w:val="00C37F32"/>
    <w:rsid w:val="00C4299B"/>
    <w:rsid w:val="00C42DCC"/>
    <w:rsid w:val="00C4568F"/>
    <w:rsid w:val="00C46FE4"/>
    <w:rsid w:val="00C503FB"/>
    <w:rsid w:val="00C55ACC"/>
    <w:rsid w:val="00C65EF2"/>
    <w:rsid w:val="00C776FF"/>
    <w:rsid w:val="00C860F6"/>
    <w:rsid w:val="00C91AB3"/>
    <w:rsid w:val="00C94D2F"/>
    <w:rsid w:val="00CA34D8"/>
    <w:rsid w:val="00CA785D"/>
    <w:rsid w:val="00CC01C3"/>
    <w:rsid w:val="00CC3E09"/>
    <w:rsid w:val="00CE052B"/>
    <w:rsid w:val="00CE06ED"/>
    <w:rsid w:val="00CE198A"/>
    <w:rsid w:val="00CE7FD9"/>
    <w:rsid w:val="00CF60DD"/>
    <w:rsid w:val="00D0194F"/>
    <w:rsid w:val="00D03077"/>
    <w:rsid w:val="00D15C0D"/>
    <w:rsid w:val="00D21009"/>
    <w:rsid w:val="00D32FBF"/>
    <w:rsid w:val="00D341CE"/>
    <w:rsid w:val="00D447FE"/>
    <w:rsid w:val="00D51680"/>
    <w:rsid w:val="00D51F7E"/>
    <w:rsid w:val="00D54262"/>
    <w:rsid w:val="00D6067A"/>
    <w:rsid w:val="00D63000"/>
    <w:rsid w:val="00D67EF9"/>
    <w:rsid w:val="00D708D5"/>
    <w:rsid w:val="00D80F68"/>
    <w:rsid w:val="00DA30F6"/>
    <w:rsid w:val="00DB5DAE"/>
    <w:rsid w:val="00DC0ACF"/>
    <w:rsid w:val="00DC17AA"/>
    <w:rsid w:val="00DD1E2E"/>
    <w:rsid w:val="00DD40E8"/>
    <w:rsid w:val="00DD4B5A"/>
    <w:rsid w:val="00DE2717"/>
    <w:rsid w:val="00DE2A05"/>
    <w:rsid w:val="00DE7C83"/>
    <w:rsid w:val="00DE7F45"/>
    <w:rsid w:val="00DF6180"/>
    <w:rsid w:val="00DF738C"/>
    <w:rsid w:val="00E04C3D"/>
    <w:rsid w:val="00E06651"/>
    <w:rsid w:val="00E12C0B"/>
    <w:rsid w:val="00E154B2"/>
    <w:rsid w:val="00E1564B"/>
    <w:rsid w:val="00E30EE1"/>
    <w:rsid w:val="00E35138"/>
    <w:rsid w:val="00E427CD"/>
    <w:rsid w:val="00E44DA8"/>
    <w:rsid w:val="00E85DA6"/>
    <w:rsid w:val="00E8675F"/>
    <w:rsid w:val="00E8702C"/>
    <w:rsid w:val="00E94D54"/>
    <w:rsid w:val="00E96227"/>
    <w:rsid w:val="00E96418"/>
    <w:rsid w:val="00E96B50"/>
    <w:rsid w:val="00EA4A65"/>
    <w:rsid w:val="00EB388B"/>
    <w:rsid w:val="00EB67C5"/>
    <w:rsid w:val="00EE12E1"/>
    <w:rsid w:val="00EF3D43"/>
    <w:rsid w:val="00EF6F07"/>
    <w:rsid w:val="00F04315"/>
    <w:rsid w:val="00F05AF3"/>
    <w:rsid w:val="00F11FF2"/>
    <w:rsid w:val="00F16784"/>
    <w:rsid w:val="00F25D84"/>
    <w:rsid w:val="00F265C9"/>
    <w:rsid w:val="00F274FD"/>
    <w:rsid w:val="00F36800"/>
    <w:rsid w:val="00F468B3"/>
    <w:rsid w:val="00F544BC"/>
    <w:rsid w:val="00F56589"/>
    <w:rsid w:val="00F62C6E"/>
    <w:rsid w:val="00F70F08"/>
    <w:rsid w:val="00F73B42"/>
    <w:rsid w:val="00F92CDF"/>
    <w:rsid w:val="00FA2FAE"/>
    <w:rsid w:val="00FA63EF"/>
    <w:rsid w:val="00FA6CF5"/>
    <w:rsid w:val="00FB7CD3"/>
    <w:rsid w:val="00FC1A8E"/>
    <w:rsid w:val="00FE05D1"/>
    <w:rsid w:val="00FE4C57"/>
    <w:rsid w:val="00FE5F6E"/>
    <w:rsid w:val="00FF3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923F"/>
  <w15:chartTrackingRefBased/>
  <w15:docId w15:val="{92BE73A4-30CA-1347-9C11-8B93F99D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DF0"/>
    <w:pPr>
      <w:jc w:val="both"/>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15DF0"/>
    <w:pPr>
      <w:outlineLvl w:val="0"/>
    </w:pPr>
    <w:rPr>
      <w:b/>
    </w:rPr>
  </w:style>
  <w:style w:type="paragraph" w:styleId="Heading2">
    <w:name w:val="heading 2"/>
    <w:basedOn w:val="Normal"/>
    <w:next w:val="Normal"/>
    <w:link w:val="Heading2Char"/>
    <w:uiPriority w:val="9"/>
    <w:unhideWhenUsed/>
    <w:qFormat/>
    <w:rsid w:val="00515DF0"/>
    <w:pPr>
      <w:outlineLvl w:val="1"/>
    </w:pPr>
    <w:rPr>
      <w:b/>
    </w:rPr>
  </w:style>
  <w:style w:type="paragraph" w:styleId="Heading3">
    <w:name w:val="heading 3"/>
    <w:basedOn w:val="Normal"/>
    <w:next w:val="Normal"/>
    <w:link w:val="Heading3Char"/>
    <w:uiPriority w:val="9"/>
    <w:unhideWhenUsed/>
    <w:qFormat/>
    <w:rsid w:val="00515DF0"/>
    <w:pPr>
      <w:keepNext/>
      <w:keepLines/>
      <w:spacing w:before="200"/>
      <w:outlineLvl w:val="2"/>
    </w:pPr>
    <w:rPr>
      <w:rFonts w:ascii="Calibri" w:eastAsia="Calibri" w:hAnsi="Calibri" w:cs="Calibri"/>
      <w:b/>
      <w:color w:val="4F81BD"/>
    </w:rPr>
  </w:style>
  <w:style w:type="paragraph" w:styleId="Heading4">
    <w:name w:val="heading 4"/>
    <w:basedOn w:val="Normal"/>
    <w:next w:val="Normal"/>
    <w:link w:val="Heading4Char"/>
    <w:uiPriority w:val="9"/>
    <w:semiHidden/>
    <w:unhideWhenUsed/>
    <w:qFormat/>
    <w:rsid w:val="00515DF0"/>
    <w:pPr>
      <w:keepNext/>
      <w:keepLines/>
      <w:spacing w:before="200"/>
      <w:outlineLvl w:val="3"/>
    </w:pPr>
    <w:rPr>
      <w:rFonts w:ascii="Calibri" w:eastAsia="Calibri" w:hAnsi="Calibri" w:cs="Calibri"/>
      <w:b/>
      <w:i/>
      <w:color w:val="4F81BD"/>
    </w:rPr>
  </w:style>
  <w:style w:type="paragraph" w:styleId="Heading5">
    <w:name w:val="heading 5"/>
    <w:basedOn w:val="Normal"/>
    <w:next w:val="Normal"/>
    <w:link w:val="Heading5Char"/>
    <w:uiPriority w:val="9"/>
    <w:semiHidden/>
    <w:unhideWhenUsed/>
    <w:qFormat/>
    <w:rsid w:val="00515DF0"/>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515DF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DF0"/>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515DF0"/>
    <w:rPr>
      <w:rFonts w:ascii="Times New Roman" w:eastAsia="Times New Roman" w:hAnsi="Times New Roman" w:cs="Times New Roman"/>
      <w:b/>
      <w:sz w:val="20"/>
      <w:szCs w:val="20"/>
    </w:rPr>
  </w:style>
  <w:style w:type="character" w:customStyle="1" w:styleId="Heading3Char">
    <w:name w:val="Heading 3 Char"/>
    <w:basedOn w:val="DefaultParagraphFont"/>
    <w:link w:val="Heading3"/>
    <w:uiPriority w:val="9"/>
    <w:rsid w:val="00515DF0"/>
    <w:rPr>
      <w:rFonts w:ascii="Calibri" w:eastAsia="Calibri" w:hAnsi="Calibri" w:cs="Calibri"/>
      <w:b/>
      <w:color w:val="4F81BD"/>
      <w:sz w:val="20"/>
      <w:szCs w:val="20"/>
    </w:rPr>
  </w:style>
  <w:style w:type="character" w:customStyle="1" w:styleId="Heading4Char">
    <w:name w:val="Heading 4 Char"/>
    <w:basedOn w:val="DefaultParagraphFont"/>
    <w:link w:val="Heading4"/>
    <w:uiPriority w:val="9"/>
    <w:semiHidden/>
    <w:rsid w:val="00515DF0"/>
    <w:rPr>
      <w:rFonts w:ascii="Calibri" w:eastAsia="Calibri" w:hAnsi="Calibri" w:cs="Calibri"/>
      <w:b/>
      <w:i/>
      <w:color w:val="4F81BD"/>
      <w:sz w:val="20"/>
      <w:szCs w:val="20"/>
    </w:rPr>
  </w:style>
  <w:style w:type="character" w:customStyle="1" w:styleId="Heading5Char">
    <w:name w:val="Heading 5 Char"/>
    <w:basedOn w:val="DefaultParagraphFont"/>
    <w:link w:val="Heading5"/>
    <w:uiPriority w:val="9"/>
    <w:semiHidden/>
    <w:rsid w:val="00515DF0"/>
    <w:rPr>
      <w:rFonts w:ascii="Times New Roman" w:eastAsia="Times New Roman" w:hAnsi="Times New Roman" w:cs="Times New Roman"/>
      <w:b/>
      <w:sz w:val="22"/>
      <w:szCs w:val="22"/>
    </w:rPr>
  </w:style>
  <w:style w:type="character" w:customStyle="1" w:styleId="Heading6Char">
    <w:name w:val="Heading 6 Char"/>
    <w:basedOn w:val="DefaultParagraphFont"/>
    <w:link w:val="Heading6"/>
    <w:uiPriority w:val="9"/>
    <w:semiHidden/>
    <w:rsid w:val="00515DF0"/>
    <w:rPr>
      <w:rFonts w:ascii="Times New Roman" w:eastAsia="Times New Roman" w:hAnsi="Times New Roman" w:cs="Times New Roman"/>
      <w:b/>
      <w:sz w:val="20"/>
      <w:szCs w:val="20"/>
    </w:rPr>
  </w:style>
  <w:style w:type="paragraph" w:styleId="Title">
    <w:name w:val="Title"/>
    <w:basedOn w:val="Normal"/>
    <w:next w:val="Normal"/>
    <w:link w:val="TitleChar"/>
    <w:uiPriority w:val="10"/>
    <w:qFormat/>
    <w:rsid w:val="00515DF0"/>
    <w:pPr>
      <w:spacing w:before="240" w:after="60"/>
      <w:jc w:val="center"/>
    </w:pPr>
  </w:style>
  <w:style w:type="character" w:customStyle="1" w:styleId="TitleChar">
    <w:name w:val="Title Char"/>
    <w:basedOn w:val="DefaultParagraphFont"/>
    <w:link w:val="Title"/>
    <w:uiPriority w:val="10"/>
    <w:rsid w:val="00515DF0"/>
    <w:rPr>
      <w:rFonts w:ascii="Times New Roman" w:eastAsia="Times New Roman" w:hAnsi="Times New Roman" w:cs="Times New Roman"/>
      <w:sz w:val="20"/>
      <w:szCs w:val="20"/>
    </w:rPr>
  </w:style>
  <w:style w:type="paragraph" w:styleId="Subtitle">
    <w:name w:val="Subtitle"/>
    <w:basedOn w:val="Normal"/>
    <w:next w:val="Normal"/>
    <w:link w:val="SubtitleChar"/>
    <w:uiPriority w:val="11"/>
    <w:qFormat/>
    <w:rsid w:val="00515DF0"/>
    <w:pPr>
      <w:spacing w:after="60"/>
      <w:jc w:val="center"/>
    </w:pPr>
  </w:style>
  <w:style w:type="character" w:customStyle="1" w:styleId="SubtitleChar">
    <w:name w:val="Subtitle Char"/>
    <w:basedOn w:val="DefaultParagraphFont"/>
    <w:link w:val="Subtitle"/>
    <w:uiPriority w:val="11"/>
    <w:rsid w:val="00515DF0"/>
    <w:rPr>
      <w:rFonts w:ascii="Times New Roman" w:eastAsia="Times New Roman" w:hAnsi="Times New Roman" w:cs="Times New Roman"/>
      <w:sz w:val="20"/>
      <w:szCs w:val="20"/>
    </w:rPr>
  </w:style>
  <w:style w:type="table" w:customStyle="1" w:styleId="15">
    <w:name w:val="15"/>
    <w:basedOn w:val="TableNormal"/>
    <w:rsid w:val="00515DF0"/>
    <w:pPr>
      <w:jc w:val="both"/>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14">
    <w:name w:val="14"/>
    <w:basedOn w:val="TableNormal"/>
    <w:rsid w:val="00515DF0"/>
    <w:pPr>
      <w:jc w:val="both"/>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13">
    <w:name w:val="13"/>
    <w:basedOn w:val="TableNormal"/>
    <w:rsid w:val="00515DF0"/>
    <w:pPr>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12">
    <w:name w:val="12"/>
    <w:basedOn w:val="TableNormal"/>
    <w:rsid w:val="00515DF0"/>
    <w:pPr>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11">
    <w:name w:val="11"/>
    <w:basedOn w:val="TableNormal"/>
    <w:rsid w:val="00515DF0"/>
    <w:pPr>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10">
    <w:name w:val="10"/>
    <w:basedOn w:val="TableNormal"/>
    <w:rsid w:val="00515DF0"/>
    <w:pPr>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9">
    <w:name w:val="9"/>
    <w:basedOn w:val="TableNormal"/>
    <w:rsid w:val="00515DF0"/>
    <w:pPr>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8">
    <w:name w:val="8"/>
    <w:basedOn w:val="TableNormal"/>
    <w:rsid w:val="00515DF0"/>
    <w:pPr>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7">
    <w:name w:val="7"/>
    <w:basedOn w:val="TableNormal"/>
    <w:rsid w:val="00515DF0"/>
    <w:pPr>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6">
    <w:name w:val="6"/>
    <w:basedOn w:val="TableNormal"/>
    <w:rsid w:val="00515DF0"/>
    <w:pPr>
      <w:jc w:val="both"/>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5">
    <w:name w:val="5"/>
    <w:basedOn w:val="TableNormal"/>
    <w:rsid w:val="00515DF0"/>
    <w:pPr>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4">
    <w:name w:val="4"/>
    <w:basedOn w:val="TableNormal"/>
    <w:rsid w:val="00515DF0"/>
    <w:pPr>
      <w:jc w:val="both"/>
    </w:pPr>
    <w:rPr>
      <w:rFonts w:ascii="Times New Roman" w:eastAsia="Times New Roman" w:hAnsi="Times New Roman" w:cs="Times New Roman"/>
      <w:sz w:val="20"/>
      <w:szCs w:val="20"/>
    </w:rPr>
    <w:tblPr>
      <w:tblStyleRowBandSize w:val="1"/>
      <w:tblStyleColBandSize w:val="1"/>
      <w:tblCellMar>
        <w:left w:w="0" w:type="dxa"/>
        <w:right w:w="0" w:type="dxa"/>
      </w:tblCellMar>
    </w:tblPr>
  </w:style>
  <w:style w:type="table" w:customStyle="1" w:styleId="3">
    <w:name w:val="3"/>
    <w:basedOn w:val="TableNormal"/>
    <w:rsid w:val="00515DF0"/>
    <w:pPr>
      <w:jc w:val="both"/>
    </w:pPr>
    <w:rPr>
      <w:rFonts w:ascii="Times New Roman" w:eastAsia="Times New Roman" w:hAnsi="Times New Roman" w:cs="Times New Roman"/>
      <w:sz w:val="20"/>
      <w:szCs w:val="20"/>
    </w:rPr>
    <w:tblPr>
      <w:tblStyleRowBandSize w:val="1"/>
      <w:tblStyleColBandSize w:val="1"/>
      <w:tblCellMar>
        <w:left w:w="0" w:type="dxa"/>
        <w:right w:w="0" w:type="dxa"/>
      </w:tblCellMar>
    </w:tblPr>
  </w:style>
  <w:style w:type="table" w:customStyle="1" w:styleId="2">
    <w:name w:val="2"/>
    <w:basedOn w:val="TableNormal"/>
    <w:rsid w:val="00515DF0"/>
    <w:pPr>
      <w:jc w:val="both"/>
    </w:pPr>
    <w:rPr>
      <w:rFonts w:ascii="Times New Roman" w:eastAsia="Times New Roman" w:hAnsi="Times New Roman" w:cs="Times New Roman"/>
      <w:sz w:val="20"/>
      <w:szCs w:val="20"/>
    </w:rPr>
    <w:tblPr>
      <w:tblStyleRowBandSize w:val="1"/>
      <w:tblStyleColBandSize w:val="1"/>
      <w:tblCellMar>
        <w:left w:w="0" w:type="dxa"/>
        <w:right w:w="0" w:type="dxa"/>
      </w:tblCellMar>
    </w:tblPr>
  </w:style>
  <w:style w:type="table" w:customStyle="1" w:styleId="1">
    <w:name w:val="1"/>
    <w:basedOn w:val="TableNormal"/>
    <w:rsid w:val="00515DF0"/>
    <w:pPr>
      <w:jc w:val="both"/>
    </w:pPr>
    <w:rPr>
      <w:rFonts w:ascii="Times New Roman" w:eastAsia="Times New Roman" w:hAnsi="Times New Roman" w:cs="Times New Roman"/>
      <w:sz w:val="20"/>
      <w:szCs w:val="20"/>
    </w:rPr>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rsid w:val="00515DF0"/>
  </w:style>
  <w:style w:type="character" w:customStyle="1" w:styleId="CommentTextChar">
    <w:name w:val="Comment Text Char"/>
    <w:basedOn w:val="DefaultParagraphFont"/>
    <w:link w:val="CommentText"/>
    <w:uiPriority w:val="99"/>
    <w:rsid w:val="00515DF0"/>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515DF0"/>
    <w:rPr>
      <w:sz w:val="16"/>
      <w:szCs w:val="16"/>
    </w:rPr>
  </w:style>
  <w:style w:type="paragraph" w:styleId="BalloonText">
    <w:name w:val="Balloon Text"/>
    <w:basedOn w:val="Normal"/>
    <w:link w:val="BalloonTextChar"/>
    <w:uiPriority w:val="99"/>
    <w:semiHidden/>
    <w:unhideWhenUsed/>
    <w:rsid w:val="00515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DF0"/>
    <w:rPr>
      <w:rFonts w:ascii="Segoe UI" w:eastAsia="Times New Roman" w:hAnsi="Segoe UI" w:cs="Segoe UI"/>
      <w:sz w:val="18"/>
      <w:szCs w:val="18"/>
    </w:rPr>
  </w:style>
  <w:style w:type="paragraph" w:styleId="ListParagraph">
    <w:name w:val="List Paragraph"/>
    <w:basedOn w:val="Normal"/>
    <w:uiPriority w:val="34"/>
    <w:qFormat/>
    <w:rsid w:val="00515DF0"/>
    <w:pPr>
      <w:ind w:left="720"/>
      <w:contextualSpacing/>
    </w:pPr>
  </w:style>
  <w:style w:type="character" w:styleId="Hyperlink">
    <w:name w:val="Hyperlink"/>
    <w:basedOn w:val="DefaultParagraphFont"/>
    <w:uiPriority w:val="99"/>
    <w:unhideWhenUsed/>
    <w:rsid w:val="00515DF0"/>
    <w:rPr>
      <w:color w:val="0563C1" w:themeColor="hyperlink"/>
      <w:u w:val="single"/>
    </w:rPr>
  </w:style>
  <w:style w:type="character" w:styleId="UnresolvedMention">
    <w:name w:val="Unresolved Mention"/>
    <w:basedOn w:val="DefaultParagraphFont"/>
    <w:uiPriority w:val="99"/>
    <w:semiHidden/>
    <w:unhideWhenUsed/>
    <w:rsid w:val="00515DF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15DF0"/>
    <w:rPr>
      <w:b/>
      <w:bCs/>
    </w:rPr>
  </w:style>
  <w:style w:type="character" w:customStyle="1" w:styleId="CommentSubjectChar">
    <w:name w:val="Comment Subject Char"/>
    <w:basedOn w:val="CommentTextChar"/>
    <w:link w:val="CommentSubject"/>
    <w:uiPriority w:val="99"/>
    <w:semiHidden/>
    <w:rsid w:val="00515DF0"/>
    <w:rPr>
      <w:rFonts w:ascii="Times New Roman" w:eastAsia="Times New Roman" w:hAnsi="Times New Roman" w:cs="Times New Roman"/>
      <w:b/>
      <w:bCs/>
      <w:sz w:val="20"/>
      <w:szCs w:val="20"/>
    </w:rPr>
  </w:style>
  <w:style w:type="paragraph" w:styleId="Revision">
    <w:name w:val="Revision"/>
    <w:hidden/>
    <w:uiPriority w:val="99"/>
    <w:semiHidden/>
    <w:rsid w:val="00515DF0"/>
    <w:rPr>
      <w:rFonts w:ascii="Times New Roman" w:eastAsia="Times New Roman" w:hAnsi="Times New Roman" w:cs="Times New Roman"/>
      <w:sz w:val="20"/>
      <w:szCs w:val="20"/>
    </w:rPr>
  </w:style>
  <w:style w:type="paragraph" w:styleId="TOC1">
    <w:name w:val="toc 1"/>
    <w:basedOn w:val="Normal"/>
    <w:next w:val="Normal"/>
    <w:autoRedefine/>
    <w:uiPriority w:val="39"/>
    <w:unhideWhenUsed/>
    <w:rsid w:val="00C37F32"/>
    <w:pPr>
      <w:tabs>
        <w:tab w:val="right" w:leader="dot" w:pos="9350"/>
      </w:tabs>
      <w:spacing w:before="70" w:after="70"/>
    </w:pPr>
  </w:style>
  <w:style w:type="paragraph" w:styleId="TOC2">
    <w:name w:val="toc 2"/>
    <w:basedOn w:val="Normal"/>
    <w:next w:val="Normal"/>
    <w:autoRedefine/>
    <w:uiPriority w:val="39"/>
    <w:unhideWhenUsed/>
    <w:rsid w:val="00515DF0"/>
    <w:pPr>
      <w:tabs>
        <w:tab w:val="right" w:leader="dot" w:pos="9350"/>
      </w:tabs>
      <w:spacing w:after="100"/>
      <w:ind w:left="200"/>
    </w:pPr>
  </w:style>
  <w:style w:type="paragraph" w:styleId="HTMLPreformatted">
    <w:name w:val="HTML Preformatted"/>
    <w:basedOn w:val="Normal"/>
    <w:link w:val="HTMLPreformattedChar"/>
    <w:uiPriority w:val="99"/>
    <w:semiHidden/>
    <w:unhideWhenUsed/>
    <w:rsid w:val="00515DF0"/>
    <w:rPr>
      <w:rFonts w:ascii="Consolas" w:hAnsi="Consolas" w:cs="Consolas"/>
    </w:rPr>
  </w:style>
  <w:style w:type="character" w:customStyle="1" w:styleId="HTMLPreformattedChar">
    <w:name w:val="HTML Preformatted Char"/>
    <w:basedOn w:val="DefaultParagraphFont"/>
    <w:link w:val="HTMLPreformatted"/>
    <w:uiPriority w:val="99"/>
    <w:semiHidden/>
    <w:rsid w:val="00515DF0"/>
    <w:rPr>
      <w:rFonts w:ascii="Consolas" w:eastAsia="Times New Roman" w:hAnsi="Consolas" w:cs="Consolas"/>
      <w:sz w:val="20"/>
      <w:szCs w:val="20"/>
    </w:rPr>
  </w:style>
  <w:style w:type="paragraph" w:customStyle="1" w:styleId="BodyText">
    <w:name w:val="BodyText"/>
    <w:basedOn w:val="Normal"/>
    <w:rsid w:val="00515DF0"/>
    <w:pPr>
      <w:widowControl w:val="0"/>
      <w:overflowPunct w:val="0"/>
      <w:autoSpaceDE w:val="0"/>
      <w:autoSpaceDN w:val="0"/>
      <w:adjustRightInd w:val="0"/>
      <w:spacing w:after="240" w:line="0" w:lineRule="atLeast"/>
      <w:ind w:firstLine="360"/>
    </w:pPr>
  </w:style>
  <w:style w:type="paragraph" w:customStyle="1" w:styleId="BodyTextItalics">
    <w:name w:val="BodyTextItalics"/>
    <w:basedOn w:val="Normal"/>
    <w:rsid w:val="00515DF0"/>
    <w:pPr>
      <w:widowControl w:val="0"/>
      <w:adjustRightInd w:val="0"/>
      <w:spacing w:after="240" w:line="0" w:lineRule="atLeast"/>
      <w:ind w:firstLine="720"/>
    </w:pPr>
    <w:rPr>
      <w:i/>
    </w:rPr>
  </w:style>
  <w:style w:type="paragraph" w:styleId="NormalWeb">
    <w:name w:val="Normal (Web)"/>
    <w:basedOn w:val="Normal"/>
    <w:uiPriority w:val="99"/>
    <w:semiHidden/>
    <w:unhideWhenUsed/>
    <w:rsid w:val="00515DF0"/>
    <w:rPr>
      <w:sz w:val="24"/>
      <w:szCs w:val="24"/>
    </w:rPr>
  </w:style>
  <w:style w:type="paragraph" w:styleId="BodyText0">
    <w:name w:val="Body Text"/>
    <w:basedOn w:val="Normal"/>
    <w:link w:val="BodyTextChar"/>
    <w:uiPriority w:val="1"/>
    <w:qFormat/>
    <w:rsid w:val="00515DF0"/>
    <w:pPr>
      <w:widowControl w:val="0"/>
      <w:autoSpaceDE w:val="0"/>
      <w:autoSpaceDN w:val="0"/>
      <w:jc w:val="left"/>
    </w:pPr>
    <w:rPr>
      <w:lang w:bidi="en-US"/>
    </w:rPr>
  </w:style>
  <w:style w:type="character" w:customStyle="1" w:styleId="BodyTextChar">
    <w:name w:val="Body Text Char"/>
    <w:basedOn w:val="DefaultParagraphFont"/>
    <w:link w:val="BodyText0"/>
    <w:uiPriority w:val="1"/>
    <w:rsid w:val="00515DF0"/>
    <w:rPr>
      <w:rFonts w:ascii="Times New Roman" w:eastAsia="Times New Roman" w:hAnsi="Times New Roman" w:cs="Times New Roman"/>
      <w:sz w:val="20"/>
      <w:szCs w:val="20"/>
      <w:lang w:bidi="en-US"/>
    </w:rPr>
  </w:style>
  <w:style w:type="paragraph" w:styleId="Header">
    <w:name w:val="header"/>
    <w:basedOn w:val="Normal"/>
    <w:link w:val="HeaderChar"/>
    <w:uiPriority w:val="99"/>
    <w:unhideWhenUsed/>
    <w:rsid w:val="00515DF0"/>
    <w:pPr>
      <w:tabs>
        <w:tab w:val="center" w:pos="4680"/>
        <w:tab w:val="right" w:pos="9360"/>
      </w:tabs>
    </w:pPr>
  </w:style>
  <w:style w:type="character" w:customStyle="1" w:styleId="HeaderChar">
    <w:name w:val="Header Char"/>
    <w:basedOn w:val="DefaultParagraphFont"/>
    <w:link w:val="Header"/>
    <w:uiPriority w:val="99"/>
    <w:rsid w:val="00515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DF0"/>
    <w:pPr>
      <w:tabs>
        <w:tab w:val="center" w:pos="4680"/>
        <w:tab w:val="right" w:pos="9360"/>
      </w:tabs>
    </w:pPr>
  </w:style>
  <w:style w:type="character" w:customStyle="1" w:styleId="FooterChar">
    <w:name w:val="Footer Char"/>
    <w:basedOn w:val="DefaultParagraphFont"/>
    <w:link w:val="Footer"/>
    <w:uiPriority w:val="99"/>
    <w:rsid w:val="00515DF0"/>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515DF0"/>
  </w:style>
  <w:style w:type="character" w:styleId="FollowedHyperlink">
    <w:name w:val="FollowedHyperlink"/>
    <w:basedOn w:val="DefaultParagraphFont"/>
    <w:uiPriority w:val="99"/>
    <w:semiHidden/>
    <w:unhideWhenUsed/>
    <w:rsid w:val="0026647F"/>
    <w:rPr>
      <w:color w:val="954F72" w:themeColor="followedHyperlink"/>
      <w:u w:val="single"/>
    </w:rPr>
  </w:style>
  <w:style w:type="paragraph" w:styleId="NoSpacing">
    <w:name w:val="No Spacing"/>
    <w:uiPriority w:val="1"/>
    <w:qFormat/>
    <w:rsid w:val="008F474C"/>
    <w:pPr>
      <w:jc w:val="both"/>
    </w:pPr>
    <w:rPr>
      <w:rFonts w:ascii="Times New Roman" w:eastAsia="Times New Roman" w:hAnsi="Times New Roman" w:cs="Times New Roman"/>
      <w:sz w:val="20"/>
      <w:szCs w:val="20"/>
    </w:rPr>
  </w:style>
  <w:style w:type="character" w:customStyle="1" w:styleId="cf01">
    <w:name w:val="cf01"/>
    <w:basedOn w:val="DefaultParagraphFont"/>
    <w:rsid w:val="00BB621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229866">
      <w:bodyDiv w:val="1"/>
      <w:marLeft w:val="0"/>
      <w:marRight w:val="0"/>
      <w:marTop w:val="0"/>
      <w:marBottom w:val="0"/>
      <w:divBdr>
        <w:top w:val="none" w:sz="0" w:space="0" w:color="auto"/>
        <w:left w:val="none" w:sz="0" w:space="0" w:color="auto"/>
        <w:bottom w:val="none" w:sz="0" w:space="0" w:color="auto"/>
        <w:right w:val="none" w:sz="0" w:space="0" w:color="auto"/>
      </w:divBdr>
    </w:div>
    <w:div w:id="899709198">
      <w:bodyDiv w:val="1"/>
      <w:marLeft w:val="0"/>
      <w:marRight w:val="0"/>
      <w:marTop w:val="0"/>
      <w:marBottom w:val="0"/>
      <w:divBdr>
        <w:top w:val="none" w:sz="0" w:space="0" w:color="auto"/>
        <w:left w:val="none" w:sz="0" w:space="0" w:color="auto"/>
        <w:bottom w:val="none" w:sz="0" w:space="0" w:color="auto"/>
        <w:right w:val="none" w:sz="0" w:space="0" w:color="auto"/>
      </w:divBdr>
      <w:divsChild>
        <w:div w:id="575089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90712">
              <w:marLeft w:val="0"/>
              <w:marRight w:val="0"/>
              <w:marTop w:val="0"/>
              <w:marBottom w:val="0"/>
              <w:divBdr>
                <w:top w:val="none" w:sz="0" w:space="0" w:color="auto"/>
                <w:left w:val="none" w:sz="0" w:space="0" w:color="auto"/>
                <w:bottom w:val="none" w:sz="0" w:space="0" w:color="auto"/>
                <w:right w:val="none" w:sz="0" w:space="0" w:color="auto"/>
              </w:divBdr>
              <w:divsChild>
                <w:div w:id="153658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44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rtglobal.co/" TargetMode="External"/><Relationship Id="rId13" Type="http://schemas.openxmlformats.org/officeDocument/2006/relationships/hyperlink" Target="https://republic.com/startglobal" TargetMode="Externa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tartglobal.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88F53-4B47-EC47-9F04-00B7742A8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43</Pages>
  <Words>17411</Words>
  <Characters>99249</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Martin</dc:creator>
  <cp:keywords/>
  <dc:description/>
  <cp:lastModifiedBy>Andy Greenstein</cp:lastModifiedBy>
  <cp:revision>3</cp:revision>
  <cp:lastPrinted>2022-06-01T20:41:00Z</cp:lastPrinted>
  <dcterms:created xsi:type="dcterms:W3CDTF">2024-08-10T16:42:00Z</dcterms:created>
  <dcterms:modified xsi:type="dcterms:W3CDTF">2024-08-12T17:41:00Z</dcterms:modified>
</cp:coreProperties>
</file>